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54145" w14:textId="77777777" w:rsidR="0022584A" w:rsidRPr="004259D0" w:rsidRDefault="0022584A" w:rsidP="00A87274">
      <w:pPr>
        <w:jc w:val="center"/>
        <w:rPr>
          <w:sz w:val="32"/>
          <w:lang w:val="hr-HR"/>
        </w:rPr>
      </w:pPr>
      <w:bookmarkStart w:id="0" w:name="_GoBack"/>
      <w:bookmarkEnd w:id="0"/>
      <w:r w:rsidRPr="004259D0">
        <w:rPr>
          <w:noProof/>
          <w:lang w:val="hr-HR" w:eastAsia="hr-HR"/>
        </w:rPr>
        <w:drawing>
          <wp:inline distT="0" distB="0" distL="0" distR="0" wp14:anchorId="50D7E22F" wp14:editId="050D1240">
            <wp:extent cx="676275" cy="843280"/>
            <wp:effectExtent l="0" t="0" r="9525" b="0"/>
            <wp:docPr id="1" name="Picture 1" descr="weil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ile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43280"/>
                    </a:xfrm>
                    <a:prstGeom prst="rect">
                      <a:avLst/>
                    </a:prstGeom>
                    <a:noFill/>
                  </pic:spPr>
                </pic:pic>
              </a:graphicData>
            </a:graphic>
          </wp:inline>
        </w:drawing>
      </w:r>
    </w:p>
    <w:p w14:paraId="5B559B67" w14:textId="77777777" w:rsidR="00AE6FDC" w:rsidRPr="004259D0" w:rsidRDefault="00AE6FDC" w:rsidP="00A87274">
      <w:pPr>
        <w:jc w:val="center"/>
        <w:rPr>
          <w:b/>
          <w:color w:val="17365D" w:themeColor="text2" w:themeShade="BF"/>
          <w:sz w:val="32"/>
          <w:lang w:val="hr-HR"/>
        </w:rPr>
      </w:pPr>
      <w:r w:rsidRPr="004259D0">
        <w:rPr>
          <w:b/>
          <w:color w:val="17365D" w:themeColor="text2" w:themeShade="BF"/>
          <w:sz w:val="32"/>
          <w:lang w:val="hr-HR"/>
        </w:rPr>
        <w:t>REPUBLIKA HRVATSKA</w:t>
      </w:r>
    </w:p>
    <w:p w14:paraId="7E37A61E" w14:textId="77777777" w:rsidR="00AE6FDC" w:rsidRPr="004259D0" w:rsidRDefault="00AE6FDC" w:rsidP="00212840">
      <w:pPr>
        <w:jc w:val="center"/>
        <w:rPr>
          <w:lang w:val="hr-HR"/>
        </w:rPr>
      </w:pPr>
    </w:p>
    <w:p w14:paraId="37ECB5B9" w14:textId="77777777" w:rsidR="00AE6FDC" w:rsidRPr="004259D0" w:rsidRDefault="00AE6FDC" w:rsidP="00212840">
      <w:pPr>
        <w:jc w:val="center"/>
        <w:rPr>
          <w:lang w:val="hr-HR"/>
        </w:rPr>
      </w:pPr>
    </w:p>
    <w:p w14:paraId="0F04588C" w14:textId="77777777" w:rsidR="00AE6FDC" w:rsidRPr="004259D0" w:rsidRDefault="00AE6FDC" w:rsidP="00212840">
      <w:pPr>
        <w:jc w:val="center"/>
        <w:rPr>
          <w:lang w:val="hr-HR"/>
        </w:rPr>
      </w:pPr>
    </w:p>
    <w:p w14:paraId="1BBC37BD" w14:textId="77777777" w:rsidR="00A05A3F" w:rsidRPr="004259D0" w:rsidRDefault="00A05A3F" w:rsidP="00236982">
      <w:pPr>
        <w:jc w:val="center"/>
        <w:rPr>
          <w:lang w:val="hr-HR"/>
        </w:rPr>
      </w:pPr>
    </w:p>
    <w:p w14:paraId="5C20170C" w14:textId="77777777" w:rsidR="00F7527C" w:rsidRPr="004259D0" w:rsidRDefault="00F7527C" w:rsidP="00236982">
      <w:pPr>
        <w:jc w:val="center"/>
        <w:rPr>
          <w:lang w:val="hr-HR"/>
        </w:rPr>
      </w:pPr>
    </w:p>
    <w:p w14:paraId="1EB30C01" w14:textId="77777777" w:rsidR="0045495A" w:rsidRPr="004259D0" w:rsidRDefault="0045495A" w:rsidP="00236982">
      <w:pPr>
        <w:jc w:val="center"/>
        <w:rPr>
          <w:lang w:val="hr-HR"/>
        </w:rPr>
      </w:pPr>
    </w:p>
    <w:p w14:paraId="55E03AA2" w14:textId="77777777" w:rsidR="0045495A" w:rsidRPr="004259D0" w:rsidRDefault="0045495A" w:rsidP="00236982">
      <w:pPr>
        <w:jc w:val="center"/>
        <w:rPr>
          <w:lang w:val="hr-HR"/>
        </w:rPr>
      </w:pPr>
    </w:p>
    <w:p w14:paraId="16364281" w14:textId="77777777" w:rsidR="00A05A3F" w:rsidRPr="004259D0" w:rsidRDefault="00A05A3F" w:rsidP="00A05A3F">
      <w:pPr>
        <w:pStyle w:val="Title"/>
        <w:spacing w:line="276" w:lineRule="auto"/>
        <w:jc w:val="center"/>
        <w:rPr>
          <w:lang w:val="hr-HR"/>
        </w:rPr>
      </w:pPr>
      <w:r w:rsidRPr="004259D0">
        <w:rPr>
          <w:lang w:val="hr-HR"/>
        </w:rPr>
        <w:t>PROGRAM KONVERGENCIJE</w:t>
      </w:r>
    </w:p>
    <w:p w14:paraId="3AA206AF" w14:textId="77777777" w:rsidR="00A05A3F" w:rsidRPr="004259D0" w:rsidRDefault="00A05A3F" w:rsidP="00A05A3F">
      <w:pPr>
        <w:pStyle w:val="Title"/>
        <w:spacing w:line="276" w:lineRule="auto"/>
        <w:jc w:val="center"/>
        <w:rPr>
          <w:lang w:val="hr-HR"/>
        </w:rPr>
      </w:pPr>
      <w:r w:rsidRPr="004259D0">
        <w:rPr>
          <w:lang w:val="hr-HR"/>
        </w:rPr>
        <w:t>REPUBLIKE HRVATSKE</w:t>
      </w:r>
    </w:p>
    <w:p w14:paraId="74E74DC6" w14:textId="77777777" w:rsidR="00A05A3F" w:rsidRPr="004259D0" w:rsidRDefault="00A05A3F" w:rsidP="00A05A3F">
      <w:pPr>
        <w:pStyle w:val="Title"/>
        <w:spacing w:line="276" w:lineRule="auto"/>
        <w:jc w:val="center"/>
        <w:rPr>
          <w:lang w:val="hr-HR"/>
        </w:rPr>
      </w:pPr>
      <w:r w:rsidRPr="004259D0">
        <w:rPr>
          <w:lang w:val="hr-HR"/>
        </w:rPr>
        <w:t>ZA RAZDOBLJE 201</w:t>
      </w:r>
      <w:r w:rsidR="00D12C95" w:rsidRPr="004259D0">
        <w:rPr>
          <w:lang w:val="hr-HR"/>
        </w:rPr>
        <w:t>9</w:t>
      </w:r>
      <w:r w:rsidRPr="004259D0">
        <w:rPr>
          <w:lang w:val="hr-HR"/>
        </w:rPr>
        <w:t>. – 202</w:t>
      </w:r>
      <w:r w:rsidR="00D12C95" w:rsidRPr="004259D0">
        <w:rPr>
          <w:lang w:val="hr-HR"/>
        </w:rPr>
        <w:t>2</w:t>
      </w:r>
      <w:r w:rsidRPr="004259D0">
        <w:rPr>
          <w:lang w:val="hr-HR"/>
        </w:rPr>
        <w:t>.</w:t>
      </w:r>
    </w:p>
    <w:p w14:paraId="689F9BD7" w14:textId="77777777" w:rsidR="0022584A" w:rsidRPr="004259D0" w:rsidRDefault="0022584A" w:rsidP="00236982">
      <w:pPr>
        <w:rPr>
          <w:lang w:val="hr-HR"/>
        </w:rPr>
      </w:pPr>
    </w:p>
    <w:p w14:paraId="4AA13C74" w14:textId="77777777" w:rsidR="00310AFC" w:rsidRPr="004259D0" w:rsidRDefault="00310AFC" w:rsidP="00236982">
      <w:pPr>
        <w:jc w:val="center"/>
        <w:rPr>
          <w:lang w:val="hr-HR"/>
        </w:rPr>
      </w:pPr>
    </w:p>
    <w:p w14:paraId="7C1DCBB3" w14:textId="77777777" w:rsidR="004259D0" w:rsidRPr="004259D0" w:rsidRDefault="004259D0" w:rsidP="00236982">
      <w:pPr>
        <w:jc w:val="center"/>
        <w:rPr>
          <w:lang w:val="hr-HR"/>
        </w:rPr>
      </w:pPr>
    </w:p>
    <w:p w14:paraId="1E1C9A19" w14:textId="77777777" w:rsidR="004259D0" w:rsidRPr="004259D0" w:rsidRDefault="004259D0" w:rsidP="00236982">
      <w:pPr>
        <w:jc w:val="center"/>
        <w:rPr>
          <w:lang w:val="hr-HR"/>
        </w:rPr>
      </w:pPr>
    </w:p>
    <w:p w14:paraId="4A508587" w14:textId="77777777" w:rsidR="004259D0" w:rsidRPr="004259D0" w:rsidRDefault="004259D0" w:rsidP="00236982">
      <w:pPr>
        <w:jc w:val="center"/>
        <w:rPr>
          <w:lang w:val="hr-HR"/>
        </w:rPr>
      </w:pPr>
    </w:p>
    <w:p w14:paraId="0E1F5AB9" w14:textId="77777777" w:rsidR="004259D0" w:rsidRPr="004259D0" w:rsidRDefault="004259D0" w:rsidP="00236982">
      <w:pPr>
        <w:jc w:val="center"/>
        <w:rPr>
          <w:lang w:val="hr-HR"/>
        </w:rPr>
      </w:pPr>
    </w:p>
    <w:p w14:paraId="63E8140B" w14:textId="77777777" w:rsidR="004259D0" w:rsidRPr="004259D0" w:rsidRDefault="004259D0" w:rsidP="00236982">
      <w:pPr>
        <w:jc w:val="center"/>
        <w:rPr>
          <w:lang w:val="hr-HR"/>
        </w:rPr>
      </w:pPr>
    </w:p>
    <w:p w14:paraId="5955C39C" w14:textId="77777777" w:rsidR="004259D0" w:rsidRPr="004259D0" w:rsidRDefault="004259D0" w:rsidP="00236982">
      <w:pPr>
        <w:jc w:val="center"/>
        <w:rPr>
          <w:sz w:val="24"/>
          <w:lang w:val="hr-HR"/>
        </w:rPr>
      </w:pPr>
    </w:p>
    <w:p w14:paraId="557E14C1" w14:textId="77777777" w:rsidR="00B47747" w:rsidRPr="004259D0" w:rsidRDefault="00B47747" w:rsidP="00AF7000">
      <w:pPr>
        <w:rPr>
          <w:sz w:val="24"/>
          <w:lang w:val="hr-HR"/>
        </w:rPr>
      </w:pPr>
    </w:p>
    <w:p w14:paraId="60EF16B0" w14:textId="77777777" w:rsidR="00512B6F" w:rsidRPr="004259D0" w:rsidRDefault="0045495A" w:rsidP="00512B6F">
      <w:pPr>
        <w:jc w:val="center"/>
        <w:rPr>
          <w:b/>
          <w:color w:val="17365D" w:themeColor="text2" w:themeShade="BF"/>
          <w:lang w:val="hr-HR"/>
        </w:rPr>
        <w:sectPr w:rsidR="00512B6F" w:rsidRPr="004259D0" w:rsidSect="007C1F4F">
          <w:footerReference w:type="default" r:id="rId9"/>
          <w:footerReference w:type="first" r:id="rId10"/>
          <w:pgSz w:w="11906" w:h="16838"/>
          <w:pgMar w:top="1417" w:right="1417" w:bottom="1417" w:left="1417" w:header="708" w:footer="567" w:gutter="0"/>
          <w:pgNumType w:chapStyle="1"/>
          <w:cols w:space="708"/>
          <w:titlePg/>
          <w:docGrid w:linePitch="360"/>
        </w:sectPr>
      </w:pPr>
      <w:r w:rsidRPr="004259D0">
        <w:rPr>
          <w:b/>
          <w:color w:val="17365D" w:themeColor="text2" w:themeShade="BF"/>
          <w:sz w:val="24"/>
          <w:lang w:val="hr-HR"/>
        </w:rPr>
        <w:t xml:space="preserve">TRAVANJ </w:t>
      </w:r>
      <w:r w:rsidR="00AE6FDC" w:rsidRPr="004259D0">
        <w:rPr>
          <w:b/>
          <w:color w:val="17365D" w:themeColor="text2" w:themeShade="BF"/>
          <w:sz w:val="24"/>
          <w:lang w:val="hr-HR"/>
        </w:rPr>
        <w:t>201</w:t>
      </w:r>
      <w:r w:rsidR="00D12C95" w:rsidRPr="004259D0">
        <w:rPr>
          <w:b/>
          <w:color w:val="17365D" w:themeColor="text2" w:themeShade="BF"/>
          <w:sz w:val="24"/>
          <w:lang w:val="hr-HR"/>
        </w:rPr>
        <w:t>9</w:t>
      </w:r>
      <w:r w:rsidR="00AE6FDC" w:rsidRPr="004259D0">
        <w:rPr>
          <w:b/>
          <w:color w:val="17365D" w:themeColor="text2" w:themeShade="BF"/>
          <w:sz w:val="24"/>
          <w:lang w:val="hr-HR"/>
        </w:rPr>
        <w:t>.</w:t>
      </w:r>
    </w:p>
    <w:p w14:paraId="4F465154" w14:textId="77777777" w:rsidR="00A26C10" w:rsidRPr="004259D0" w:rsidRDefault="00A26C10" w:rsidP="009E0C96">
      <w:pPr>
        <w:pStyle w:val="Heading1"/>
        <w:ind w:left="1080"/>
        <w:rPr>
          <w:sz w:val="32"/>
          <w:lang w:val="hr-HR"/>
        </w:rPr>
      </w:pPr>
      <w:bookmarkStart w:id="1" w:name="_Toc6418602"/>
      <w:r w:rsidRPr="004259D0">
        <w:rPr>
          <w:sz w:val="32"/>
          <w:lang w:val="hr-HR"/>
        </w:rPr>
        <w:lastRenderedPageBreak/>
        <w:t>Predgovor</w:t>
      </w:r>
      <w:bookmarkEnd w:id="1"/>
      <w:r w:rsidR="00453134" w:rsidRPr="004259D0">
        <w:rPr>
          <w:sz w:val="32"/>
          <w:lang w:val="hr-HR"/>
        </w:rPr>
        <w:t xml:space="preserve"> </w:t>
      </w:r>
    </w:p>
    <w:p w14:paraId="57AAD2DD" w14:textId="77777777" w:rsidR="00B52C90" w:rsidRPr="004259D0" w:rsidRDefault="00B52C90" w:rsidP="00A26C10">
      <w:pPr>
        <w:rPr>
          <w:lang w:val="hr-HR"/>
        </w:rPr>
      </w:pPr>
    </w:p>
    <w:p w14:paraId="4F684FD6" w14:textId="25787491" w:rsidR="00B52C90" w:rsidRPr="004259D0" w:rsidRDefault="00215A51" w:rsidP="00215A51">
      <w:pPr>
        <w:jc w:val="both"/>
        <w:rPr>
          <w:lang w:val="hr-HR"/>
        </w:rPr>
      </w:pPr>
      <w:r w:rsidRPr="004259D0">
        <w:rPr>
          <w:i/>
          <w:lang w:val="hr-HR"/>
        </w:rPr>
        <w:t xml:space="preserve">Vlada Republike Hrvatske je na sjednici </w:t>
      </w:r>
      <w:r w:rsidR="00FD38C2" w:rsidRPr="004259D0">
        <w:rPr>
          <w:i/>
          <w:lang w:val="hr-HR"/>
        </w:rPr>
        <w:t>18</w:t>
      </w:r>
      <w:r w:rsidRPr="004259D0">
        <w:rPr>
          <w:i/>
          <w:lang w:val="hr-HR"/>
        </w:rPr>
        <w:t xml:space="preserve">. travnja 2019. prihvatila Program konvergencije Republike Hrvatske za </w:t>
      </w:r>
      <w:r w:rsidR="00FE1C3A" w:rsidRPr="004259D0">
        <w:rPr>
          <w:i/>
          <w:lang w:val="hr-HR"/>
        </w:rPr>
        <w:t xml:space="preserve">razdoblje </w:t>
      </w:r>
      <w:r w:rsidRPr="004259D0">
        <w:rPr>
          <w:i/>
          <w:lang w:val="hr-HR"/>
        </w:rPr>
        <w:t>2019.</w:t>
      </w:r>
      <w:r w:rsidR="00FE1C3A" w:rsidRPr="004259D0">
        <w:rPr>
          <w:i/>
          <w:lang w:val="hr-HR"/>
        </w:rPr>
        <w:t>- 2022.</w:t>
      </w:r>
      <w:r w:rsidRPr="004259D0">
        <w:rPr>
          <w:i/>
          <w:lang w:val="hr-HR"/>
        </w:rPr>
        <w:t xml:space="preserve">. Ovo je šesti Program konvergencije koji je Republika Hrvatska </w:t>
      </w:r>
      <w:r w:rsidR="003E3DF6" w:rsidRPr="004259D0">
        <w:rPr>
          <w:i/>
          <w:lang w:val="hr-HR"/>
        </w:rPr>
        <w:t xml:space="preserve">(u </w:t>
      </w:r>
      <w:r w:rsidR="00464C23" w:rsidRPr="004259D0">
        <w:rPr>
          <w:i/>
          <w:lang w:val="hr-HR"/>
        </w:rPr>
        <w:t>daljnjem</w:t>
      </w:r>
      <w:r w:rsidR="003E3DF6" w:rsidRPr="004259D0">
        <w:rPr>
          <w:i/>
          <w:lang w:val="hr-HR"/>
        </w:rPr>
        <w:t xml:space="preserve"> tekstu RH) </w:t>
      </w:r>
      <w:r w:rsidRPr="004259D0">
        <w:rPr>
          <w:i/>
          <w:lang w:val="hr-HR"/>
        </w:rPr>
        <w:t>izradila kao država članica Europske unije (u daljnjem tekstu: EU). Dokument je rezultat procesa tijekom kojeg su sve države članice EU obvezne izvještavati i usklađivati svoju ekonomsku politiku sa zajedničkim definiranim ciljevima i odredbama EU. Takvo usklađivanje i izvještavanje provodi se u sklopu godišnjih ciklusa Europskog semestra, kada do kraja travnja svake godine države članice predaju svoje strateške dokumente Europskoj komisiji</w:t>
      </w:r>
      <w:r w:rsidR="003E3DF6" w:rsidRPr="004259D0">
        <w:rPr>
          <w:i/>
          <w:lang w:val="hr-HR"/>
        </w:rPr>
        <w:t xml:space="preserve"> (u daljnjem tekstu: EK)</w:t>
      </w:r>
      <w:r w:rsidRPr="004259D0">
        <w:rPr>
          <w:i/>
          <w:lang w:val="hr-HR"/>
        </w:rPr>
        <w:t>, nakon čega slijedi ekonomski dijalog, izrada i usvajanje preporuka za pojedinačne države članice te njihova provedba u praksi. Dokument je izradilo Ministarstvo financija.</w:t>
      </w:r>
    </w:p>
    <w:p w14:paraId="6FCB9FA1" w14:textId="77777777" w:rsidR="00496793" w:rsidRPr="004259D0" w:rsidRDefault="00496793" w:rsidP="00A26C10">
      <w:pPr>
        <w:rPr>
          <w:lang w:val="hr-HR"/>
        </w:rPr>
      </w:pPr>
    </w:p>
    <w:p w14:paraId="71B7C9FD" w14:textId="77777777" w:rsidR="00A26C10" w:rsidRPr="004259D0" w:rsidRDefault="00A26C10">
      <w:pPr>
        <w:rPr>
          <w:rFonts w:eastAsiaTheme="majorEastAsia" w:cstheme="majorBidi"/>
          <w:b/>
          <w:bCs/>
          <w:color w:val="365F91" w:themeColor="accent1" w:themeShade="BF"/>
          <w:sz w:val="28"/>
          <w:szCs w:val="28"/>
          <w:lang w:val="hr-HR"/>
        </w:rPr>
      </w:pPr>
      <w:r w:rsidRPr="004259D0">
        <w:rPr>
          <w:lang w:val="hr-HR"/>
        </w:rPr>
        <w:br w:type="page"/>
      </w:r>
    </w:p>
    <w:p w14:paraId="32CCDB55" w14:textId="77777777" w:rsidR="00AE6FDC" w:rsidRPr="004259D0" w:rsidRDefault="00A76B19" w:rsidP="009E0C96">
      <w:pPr>
        <w:pStyle w:val="Heading1"/>
        <w:ind w:left="1080"/>
        <w:rPr>
          <w:sz w:val="32"/>
          <w:lang w:val="hr-HR"/>
        </w:rPr>
      </w:pPr>
      <w:bookmarkStart w:id="2" w:name="_Toc6418603"/>
      <w:r w:rsidRPr="004259D0">
        <w:rPr>
          <w:sz w:val="32"/>
          <w:lang w:val="hr-HR"/>
        </w:rPr>
        <w:lastRenderedPageBreak/>
        <w:t>Sadržaj</w:t>
      </w:r>
      <w:bookmarkEnd w:id="2"/>
    </w:p>
    <w:sdt>
      <w:sdtPr>
        <w:rPr>
          <w:lang w:val="hr-HR"/>
        </w:rPr>
        <w:id w:val="231675170"/>
        <w:docPartObj>
          <w:docPartGallery w:val="Table of Contents"/>
          <w:docPartUnique/>
        </w:docPartObj>
      </w:sdtPr>
      <w:sdtEndPr>
        <w:rPr>
          <w:b/>
          <w:bCs/>
          <w:sz w:val="2"/>
        </w:rPr>
      </w:sdtEndPr>
      <w:sdtContent>
        <w:p w14:paraId="78071F6C" w14:textId="77777777" w:rsidR="00AE6FDC" w:rsidRPr="004259D0" w:rsidRDefault="00AE6FDC" w:rsidP="0053662C">
          <w:pPr>
            <w:spacing w:after="0" w:line="240" w:lineRule="auto"/>
            <w:rPr>
              <w:sz w:val="2"/>
              <w:lang w:val="hr-HR"/>
            </w:rPr>
          </w:pPr>
        </w:p>
        <w:p w14:paraId="6BE26867" w14:textId="77777777" w:rsidR="00D93D3F" w:rsidRDefault="00AE6FDC">
          <w:pPr>
            <w:pStyle w:val="TOC1"/>
            <w:rPr>
              <w:rFonts w:eastAsiaTheme="minorEastAsia"/>
              <w:noProof/>
              <w:lang w:eastAsia="en-GB"/>
            </w:rPr>
          </w:pPr>
          <w:r w:rsidRPr="004259D0">
            <w:rPr>
              <w:lang w:val="hr-HR"/>
            </w:rPr>
            <w:fldChar w:fldCharType="begin"/>
          </w:r>
          <w:r w:rsidRPr="004259D0">
            <w:rPr>
              <w:lang w:val="hr-HR"/>
            </w:rPr>
            <w:instrText xml:space="preserve"> TOC \o "1-3" \h \z \u </w:instrText>
          </w:r>
          <w:r w:rsidRPr="004259D0">
            <w:rPr>
              <w:lang w:val="hr-HR"/>
            </w:rPr>
            <w:fldChar w:fldCharType="separate"/>
          </w:r>
          <w:hyperlink w:anchor="_Toc6418602" w:history="1">
            <w:r w:rsidR="00D93D3F" w:rsidRPr="002F6B47">
              <w:rPr>
                <w:rStyle w:val="Hyperlink"/>
                <w:noProof/>
                <w:lang w:val="hr-HR"/>
              </w:rPr>
              <w:t>Predgovor</w:t>
            </w:r>
            <w:r w:rsidR="00D93D3F">
              <w:rPr>
                <w:noProof/>
                <w:webHidden/>
              </w:rPr>
              <w:tab/>
            </w:r>
            <w:r w:rsidR="00D93D3F">
              <w:rPr>
                <w:noProof/>
                <w:webHidden/>
              </w:rPr>
              <w:fldChar w:fldCharType="begin"/>
            </w:r>
            <w:r w:rsidR="00D93D3F">
              <w:rPr>
                <w:noProof/>
                <w:webHidden/>
              </w:rPr>
              <w:instrText xml:space="preserve"> PAGEREF _Toc6418602 \h </w:instrText>
            </w:r>
            <w:r w:rsidR="00D93D3F">
              <w:rPr>
                <w:noProof/>
                <w:webHidden/>
              </w:rPr>
            </w:r>
            <w:r w:rsidR="00D93D3F">
              <w:rPr>
                <w:noProof/>
                <w:webHidden/>
              </w:rPr>
              <w:fldChar w:fldCharType="separate"/>
            </w:r>
            <w:r w:rsidR="00572AFD">
              <w:rPr>
                <w:noProof/>
                <w:webHidden/>
              </w:rPr>
              <w:t>I</w:t>
            </w:r>
            <w:r w:rsidR="00D93D3F">
              <w:rPr>
                <w:noProof/>
                <w:webHidden/>
              </w:rPr>
              <w:fldChar w:fldCharType="end"/>
            </w:r>
          </w:hyperlink>
        </w:p>
        <w:p w14:paraId="67CC3200" w14:textId="77777777" w:rsidR="00D93D3F" w:rsidRDefault="005D1222">
          <w:pPr>
            <w:pStyle w:val="TOC1"/>
            <w:rPr>
              <w:rFonts w:eastAsiaTheme="minorEastAsia"/>
              <w:noProof/>
              <w:lang w:eastAsia="en-GB"/>
            </w:rPr>
          </w:pPr>
          <w:hyperlink w:anchor="_Toc6418603" w:history="1">
            <w:r w:rsidR="00D93D3F" w:rsidRPr="002F6B47">
              <w:rPr>
                <w:rStyle w:val="Hyperlink"/>
                <w:noProof/>
                <w:lang w:val="hr-HR"/>
              </w:rPr>
              <w:t>Sadržaj</w:t>
            </w:r>
            <w:r w:rsidR="00D93D3F">
              <w:rPr>
                <w:noProof/>
                <w:webHidden/>
              </w:rPr>
              <w:tab/>
            </w:r>
            <w:r w:rsidR="00D93D3F">
              <w:rPr>
                <w:noProof/>
                <w:webHidden/>
              </w:rPr>
              <w:fldChar w:fldCharType="begin"/>
            </w:r>
            <w:r w:rsidR="00D93D3F">
              <w:rPr>
                <w:noProof/>
                <w:webHidden/>
              </w:rPr>
              <w:instrText xml:space="preserve"> PAGEREF _Toc6418603 \h </w:instrText>
            </w:r>
            <w:r w:rsidR="00D93D3F">
              <w:rPr>
                <w:noProof/>
                <w:webHidden/>
              </w:rPr>
            </w:r>
            <w:r w:rsidR="00D93D3F">
              <w:rPr>
                <w:noProof/>
                <w:webHidden/>
              </w:rPr>
              <w:fldChar w:fldCharType="separate"/>
            </w:r>
            <w:r w:rsidR="00572AFD">
              <w:rPr>
                <w:noProof/>
                <w:webHidden/>
              </w:rPr>
              <w:t>II</w:t>
            </w:r>
            <w:r w:rsidR="00D93D3F">
              <w:rPr>
                <w:noProof/>
                <w:webHidden/>
              </w:rPr>
              <w:fldChar w:fldCharType="end"/>
            </w:r>
          </w:hyperlink>
        </w:p>
        <w:p w14:paraId="1FA70A23" w14:textId="77777777" w:rsidR="00D93D3F" w:rsidRDefault="005D1222">
          <w:pPr>
            <w:pStyle w:val="TOC1"/>
            <w:rPr>
              <w:rFonts w:eastAsiaTheme="minorEastAsia"/>
              <w:noProof/>
              <w:lang w:eastAsia="en-GB"/>
            </w:rPr>
          </w:pPr>
          <w:hyperlink w:anchor="_Toc6418604" w:history="1">
            <w:r w:rsidR="00D93D3F" w:rsidRPr="002F6B47">
              <w:rPr>
                <w:rStyle w:val="Hyperlink"/>
                <w:noProof/>
                <w:lang w:val="hr-HR"/>
              </w:rPr>
              <w:t>Popis tablica</w:t>
            </w:r>
            <w:r w:rsidR="00D93D3F">
              <w:rPr>
                <w:noProof/>
                <w:webHidden/>
              </w:rPr>
              <w:tab/>
            </w:r>
            <w:r w:rsidR="00D93D3F">
              <w:rPr>
                <w:noProof/>
                <w:webHidden/>
              </w:rPr>
              <w:fldChar w:fldCharType="begin"/>
            </w:r>
            <w:r w:rsidR="00D93D3F">
              <w:rPr>
                <w:noProof/>
                <w:webHidden/>
              </w:rPr>
              <w:instrText xml:space="preserve"> PAGEREF _Toc6418604 \h </w:instrText>
            </w:r>
            <w:r w:rsidR="00D93D3F">
              <w:rPr>
                <w:noProof/>
                <w:webHidden/>
              </w:rPr>
            </w:r>
            <w:r w:rsidR="00D93D3F">
              <w:rPr>
                <w:noProof/>
                <w:webHidden/>
              </w:rPr>
              <w:fldChar w:fldCharType="separate"/>
            </w:r>
            <w:r w:rsidR="00572AFD">
              <w:rPr>
                <w:noProof/>
                <w:webHidden/>
              </w:rPr>
              <w:t>III</w:t>
            </w:r>
            <w:r w:rsidR="00D93D3F">
              <w:rPr>
                <w:noProof/>
                <w:webHidden/>
              </w:rPr>
              <w:fldChar w:fldCharType="end"/>
            </w:r>
          </w:hyperlink>
        </w:p>
        <w:p w14:paraId="663C95E9" w14:textId="77777777" w:rsidR="00D93D3F" w:rsidRDefault="005D1222">
          <w:pPr>
            <w:pStyle w:val="TOC1"/>
            <w:rPr>
              <w:rFonts w:eastAsiaTheme="minorEastAsia"/>
              <w:noProof/>
              <w:lang w:eastAsia="en-GB"/>
            </w:rPr>
          </w:pPr>
          <w:hyperlink w:anchor="_Toc6418605" w:history="1">
            <w:r w:rsidR="00D93D3F" w:rsidRPr="002F6B47">
              <w:rPr>
                <w:rStyle w:val="Hyperlink"/>
                <w:noProof/>
                <w:lang w:val="hr-HR"/>
              </w:rPr>
              <w:t>Popis grafikona</w:t>
            </w:r>
            <w:r w:rsidR="00D93D3F">
              <w:rPr>
                <w:noProof/>
                <w:webHidden/>
              </w:rPr>
              <w:tab/>
            </w:r>
            <w:r w:rsidR="00D93D3F">
              <w:rPr>
                <w:noProof/>
                <w:webHidden/>
              </w:rPr>
              <w:fldChar w:fldCharType="begin"/>
            </w:r>
            <w:r w:rsidR="00D93D3F">
              <w:rPr>
                <w:noProof/>
                <w:webHidden/>
              </w:rPr>
              <w:instrText xml:space="preserve"> PAGEREF _Toc6418605 \h </w:instrText>
            </w:r>
            <w:r w:rsidR="00D93D3F">
              <w:rPr>
                <w:noProof/>
                <w:webHidden/>
              </w:rPr>
            </w:r>
            <w:r w:rsidR="00D93D3F">
              <w:rPr>
                <w:noProof/>
                <w:webHidden/>
              </w:rPr>
              <w:fldChar w:fldCharType="separate"/>
            </w:r>
            <w:r w:rsidR="00572AFD">
              <w:rPr>
                <w:noProof/>
                <w:webHidden/>
              </w:rPr>
              <w:t>III</w:t>
            </w:r>
            <w:r w:rsidR="00D93D3F">
              <w:rPr>
                <w:noProof/>
                <w:webHidden/>
              </w:rPr>
              <w:fldChar w:fldCharType="end"/>
            </w:r>
          </w:hyperlink>
        </w:p>
        <w:p w14:paraId="3D500A80" w14:textId="77777777" w:rsidR="00D93D3F" w:rsidRDefault="005D1222">
          <w:pPr>
            <w:pStyle w:val="TOC1"/>
            <w:rPr>
              <w:rFonts w:eastAsiaTheme="minorEastAsia"/>
              <w:noProof/>
              <w:lang w:eastAsia="en-GB"/>
            </w:rPr>
          </w:pPr>
          <w:hyperlink w:anchor="_Toc6418606" w:history="1">
            <w:r w:rsidR="00D93D3F" w:rsidRPr="002F6B47">
              <w:rPr>
                <w:rStyle w:val="Hyperlink"/>
                <w:noProof/>
                <w:lang w:val="hr-HR"/>
              </w:rPr>
              <w:t>Popis priloga</w:t>
            </w:r>
            <w:r w:rsidR="00D93D3F">
              <w:rPr>
                <w:noProof/>
                <w:webHidden/>
              </w:rPr>
              <w:tab/>
            </w:r>
            <w:r w:rsidR="00D93D3F">
              <w:rPr>
                <w:noProof/>
                <w:webHidden/>
              </w:rPr>
              <w:fldChar w:fldCharType="begin"/>
            </w:r>
            <w:r w:rsidR="00D93D3F">
              <w:rPr>
                <w:noProof/>
                <w:webHidden/>
              </w:rPr>
              <w:instrText xml:space="preserve"> PAGEREF _Toc6418606 \h </w:instrText>
            </w:r>
            <w:r w:rsidR="00D93D3F">
              <w:rPr>
                <w:noProof/>
                <w:webHidden/>
              </w:rPr>
            </w:r>
            <w:r w:rsidR="00D93D3F">
              <w:rPr>
                <w:noProof/>
                <w:webHidden/>
              </w:rPr>
              <w:fldChar w:fldCharType="separate"/>
            </w:r>
            <w:r w:rsidR="00572AFD">
              <w:rPr>
                <w:noProof/>
                <w:webHidden/>
              </w:rPr>
              <w:t>IV</w:t>
            </w:r>
            <w:r w:rsidR="00D93D3F">
              <w:rPr>
                <w:noProof/>
                <w:webHidden/>
              </w:rPr>
              <w:fldChar w:fldCharType="end"/>
            </w:r>
          </w:hyperlink>
        </w:p>
        <w:p w14:paraId="42AF97D5" w14:textId="77777777" w:rsidR="00D93D3F" w:rsidRDefault="005D1222">
          <w:pPr>
            <w:pStyle w:val="TOC1"/>
            <w:rPr>
              <w:rFonts w:eastAsiaTheme="minorEastAsia"/>
              <w:noProof/>
              <w:lang w:eastAsia="en-GB"/>
            </w:rPr>
          </w:pPr>
          <w:hyperlink w:anchor="_Toc6418607" w:history="1">
            <w:r w:rsidR="00D93D3F" w:rsidRPr="002F6B47">
              <w:rPr>
                <w:rStyle w:val="Hyperlink"/>
                <w:noProof/>
                <w:lang w:val="hr-HR"/>
              </w:rPr>
              <w:t>1.</w:t>
            </w:r>
            <w:r w:rsidR="00D93D3F">
              <w:rPr>
                <w:rFonts w:eastAsiaTheme="minorEastAsia"/>
                <w:noProof/>
                <w:lang w:eastAsia="en-GB"/>
              </w:rPr>
              <w:tab/>
            </w:r>
            <w:r w:rsidR="00D93D3F" w:rsidRPr="002F6B47">
              <w:rPr>
                <w:rStyle w:val="Hyperlink"/>
                <w:noProof/>
                <w:lang w:val="hr-HR"/>
              </w:rPr>
              <w:t>OKVIR I CILJEVI EKONOMSKE POLITIKE</w:t>
            </w:r>
            <w:r w:rsidR="00D93D3F">
              <w:rPr>
                <w:noProof/>
                <w:webHidden/>
              </w:rPr>
              <w:tab/>
            </w:r>
            <w:r w:rsidR="00D93D3F">
              <w:rPr>
                <w:noProof/>
                <w:webHidden/>
              </w:rPr>
              <w:fldChar w:fldCharType="begin"/>
            </w:r>
            <w:r w:rsidR="00D93D3F">
              <w:rPr>
                <w:noProof/>
                <w:webHidden/>
              </w:rPr>
              <w:instrText xml:space="preserve"> PAGEREF _Toc6418607 \h </w:instrText>
            </w:r>
            <w:r w:rsidR="00D93D3F">
              <w:rPr>
                <w:noProof/>
                <w:webHidden/>
              </w:rPr>
            </w:r>
            <w:r w:rsidR="00D93D3F">
              <w:rPr>
                <w:noProof/>
                <w:webHidden/>
              </w:rPr>
              <w:fldChar w:fldCharType="separate"/>
            </w:r>
            <w:r w:rsidR="00572AFD">
              <w:rPr>
                <w:noProof/>
                <w:webHidden/>
              </w:rPr>
              <w:t>5</w:t>
            </w:r>
            <w:r w:rsidR="00D93D3F">
              <w:rPr>
                <w:noProof/>
                <w:webHidden/>
              </w:rPr>
              <w:fldChar w:fldCharType="end"/>
            </w:r>
          </w:hyperlink>
        </w:p>
        <w:p w14:paraId="65609D38" w14:textId="77777777" w:rsidR="00D93D3F" w:rsidRDefault="005D1222">
          <w:pPr>
            <w:pStyle w:val="TOC1"/>
            <w:rPr>
              <w:rFonts w:eastAsiaTheme="minorEastAsia"/>
              <w:noProof/>
              <w:lang w:eastAsia="en-GB"/>
            </w:rPr>
          </w:pPr>
          <w:hyperlink w:anchor="_Toc6418608" w:history="1">
            <w:r w:rsidR="00D93D3F" w:rsidRPr="002F6B47">
              <w:rPr>
                <w:rStyle w:val="Hyperlink"/>
                <w:noProof/>
                <w:lang w:val="hr-HR"/>
              </w:rPr>
              <w:t>2.</w:t>
            </w:r>
            <w:r w:rsidR="00D93D3F">
              <w:rPr>
                <w:rFonts w:eastAsiaTheme="minorEastAsia"/>
                <w:noProof/>
                <w:lang w:eastAsia="en-GB"/>
              </w:rPr>
              <w:tab/>
            </w:r>
            <w:r w:rsidR="00D93D3F" w:rsidRPr="002F6B47">
              <w:rPr>
                <w:rStyle w:val="Hyperlink"/>
                <w:noProof/>
                <w:lang w:val="hr-HR"/>
              </w:rPr>
              <w:t>MAKROEKONOMSKA KRETANJA</w:t>
            </w:r>
            <w:r w:rsidR="00D93D3F">
              <w:rPr>
                <w:noProof/>
                <w:webHidden/>
              </w:rPr>
              <w:tab/>
            </w:r>
            <w:r w:rsidR="00D93D3F">
              <w:rPr>
                <w:noProof/>
                <w:webHidden/>
              </w:rPr>
              <w:fldChar w:fldCharType="begin"/>
            </w:r>
            <w:r w:rsidR="00D93D3F">
              <w:rPr>
                <w:noProof/>
                <w:webHidden/>
              </w:rPr>
              <w:instrText xml:space="preserve"> PAGEREF _Toc6418608 \h </w:instrText>
            </w:r>
            <w:r w:rsidR="00D93D3F">
              <w:rPr>
                <w:noProof/>
                <w:webHidden/>
              </w:rPr>
            </w:r>
            <w:r w:rsidR="00D93D3F">
              <w:rPr>
                <w:noProof/>
                <w:webHidden/>
              </w:rPr>
              <w:fldChar w:fldCharType="separate"/>
            </w:r>
            <w:r w:rsidR="00572AFD">
              <w:rPr>
                <w:noProof/>
                <w:webHidden/>
              </w:rPr>
              <w:t>7</w:t>
            </w:r>
            <w:r w:rsidR="00D93D3F">
              <w:rPr>
                <w:noProof/>
                <w:webHidden/>
              </w:rPr>
              <w:fldChar w:fldCharType="end"/>
            </w:r>
          </w:hyperlink>
        </w:p>
        <w:p w14:paraId="467C5B30" w14:textId="77777777" w:rsidR="00D93D3F" w:rsidRDefault="005D1222">
          <w:pPr>
            <w:pStyle w:val="TOC2"/>
            <w:rPr>
              <w:rFonts w:eastAsiaTheme="minorEastAsia"/>
              <w:noProof/>
              <w:lang w:eastAsia="en-GB"/>
            </w:rPr>
          </w:pPr>
          <w:hyperlink w:anchor="_Toc6418609" w:history="1">
            <w:r w:rsidR="00D93D3F" w:rsidRPr="002F6B47">
              <w:rPr>
                <w:rStyle w:val="Hyperlink"/>
                <w:noProof/>
                <w:lang w:val="hr-HR"/>
              </w:rPr>
              <w:t>2.1.</w:t>
            </w:r>
            <w:r w:rsidR="00D93D3F">
              <w:rPr>
                <w:rFonts w:eastAsiaTheme="minorEastAsia"/>
                <w:noProof/>
                <w:lang w:eastAsia="en-GB"/>
              </w:rPr>
              <w:tab/>
            </w:r>
            <w:r w:rsidR="00D93D3F" w:rsidRPr="002F6B47">
              <w:rPr>
                <w:rStyle w:val="Hyperlink"/>
                <w:noProof/>
                <w:lang w:val="hr-HR"/>
              </w:rPr>
              <w:t>Bruto domaći proizvod</w:t>
            </w:r>
            <w:r w:rsidR="00D93D3F">
              <w:rPr>
                <w:noProof/>
                <w:webHidden/>
              </w:rPr>
              <w:tab/>
            </w:r>
            <w:r w:rsidR="00D93D3F">
              <w:rPr>
                <w:noProof/>
                <w:webHidden/>
              </w:rPr>
              <w:fldChar w:fldCharType="begin"/>
            </w:r>
            <w:r w:rsidR="00D93D3F">
              <w:rPr>
                <w:noProof/>
                <w:webHidden/>
              </w:rPr>
              <w:instrText xml:space="preserve"> PAGEREF _Toc6418609 \h </w:instrText>
            </w:r>
            <w:r w:rsidR="00D93D3F">
              <w:rPr>
                <w:noProof/>
                <w:webHidden/>
              </w:rPr>
            </w:r>
            <w:r w:rsidR="00D93D3F">
              <w:rPr>
                <w:noProof/>
                <w:webHidden/>
              </w:rPr>
              <w:fldChar w:fldCharType="separate"/>
            </w:r>
            <w:r w:rsidR="00572AFD">
              <w:rPr>
                <w:noProof/>
                <w:webHidden/>
              </w:rPr>
              <w:t>8</w:t>
            </w:r>
            <w:r w:rsidR="00D93D3F">
              <w:rPr>
                <w:noProof/>
                <w:webHidden/>
              </w:rPr>
              <w:fldChar w:fldCharType="end"/>
            </w:r>
          </w:hyperlink>
        </w:p>
        <w:p w14:paraId="2BC32538" w14:textId="77777777" w:rsidR="00D93D3F" w:rsidRDefault="005D1222">
          <w:pPr>
            <w:pStyle w:val="TOC2"/>
            <w:rPr>
              <w:rFonts w:eastAsiaTheme="minorEastAsia"/>
              <w:noProof/>
              <w:lang w:eastAsia="en-GB"/>
            </w:rPr>
          </w:pPr>
          <w:hyperlink w:anchor="_Toc6418610" w:history="1">
            <w:r w:rsidR="00D93D3F" w:rsidRPr="002F6B47">
              <w:rPr>
                <w:rStyle w:val="Hyperlink"/>
                <w:noProof/>
                <w:lang w:val="hr-HR"/>
              </w:rPr>
              <w:t>2.2.</w:t>
            </w:r>
            <w:r w:rsidR="00D93D3F">
              <w:rPr>
                <w:rFonts w:eastAsiaTheme="minorEastAsia"/>
                <w:noProof/>
                <w:lang w:eastAsia="en-GB"/>
              </w:rPr>
              <w:tab/>
            </w:r>
            <w:r w:rsidR="00D93D3F" w:rsidRPr="002F6B47">
              <w:rPr>
                <w:rStyle w:val="Hyperlink"/>
                <w:noProof/>
                <w:lang w:val="hr-HR"/>
              </w:rPr>
              <w:t>Ciklička kretanja</w:t>
            </w:r>
            <w:r w:rsidR="00D93D3F">
              <w:rPr>
                <w:noProof/>
                <w:webHidden/>
              </w:rPr>
              <w:tab/>
            </w:r>
            <w:r w:rsidR="00D93D3F">
              <w:rPr>
                <w:noProof/>
                <w:webHidden/>
              </w:rPr>
              <w:fldChar w:fldCharType="begin"/>
            </w:r>
            <w:r w:rsidR="00D93D3F">
              <w:rPr>
                <w:noProof/>
                <w:webHidden/>
              </w:rPr>
              <w:instrText xml:space="preserve"> PAGEREF _Toc6418610 \h </w:instrText>
            </w:r>
            <w:r w:rsidR="00D93D3F">
              <w:rPr>
                <w:noProof/>
                <w:webHidden/>
              </w:rPr>
            </w:r>
            <w:r w:rsidR="00D93D3F">
              <w:rPr>
                <w:noProof/>
                <w:webHidden/>
              </w:rPr>
              <w:fldChar w:fldCharType="separate"/>
            </w:r>
            <w:r w:rsidR="00572AFD">
              <w:rPr>
                <w:noProof/>
                <w:webHidden/>
              </w:rPr>
              <w:t>13</w:t>
            </w:r>
            <w:r w:rsidR="00D93D3F">
              <w:rPr>
                <w:noProof/>
                <w:webHidden/>
              </w:rPr>
              <w:fldChar w:fldCharType="end"/>
            </w:r>
          </w:hyperlink>
        </w:p>
        <w:p w14:paraId="78779495" w14:textId="77777777" w:rsidR="00D93D3F" w:rsidRDefault="005D1222">
          <w:pPr>
            <w:pStyle w:val="TOC2"/>
            <w:rPr>
              <w:rFonts w:eastAsiaTheme="minorEastAsia"/>
              <w:noProof/>
              <w:lang w:eastAsia="en-GB"/>
            </w:rPr>
          </w:pPr>
          <w:hyperlink w:anchor="_Toc6418611" w:history="1">
            <w:r w:rsidR="00D93D3F" w:rsidRPr="002F6B47">
              <w:rPr>
                <w:rStyle w:val="Hyperlink"/>
                <w:noProof/>
                <w:lang w:val="hr-HR"/>
              </w:rPr>
              <w:t>2.3.</w:t>
            </w:r>
            <w:r w:rsidR="00D93D3F">
              <w:rPr>
                <w:rFonts w:eastAsiaTheme="minorEastAsia"/>
                <w:noProof/>
                <w:lang w:eastAsia="en-GB"/>
              </w:rPr>
              <w:tab/>
            </w:r>
            <w:r w:rsidR="00D93D3F" w:rsidRPr="002F6B47">
              <w:rPr>
                <w:rStyle w:val="Hyperlink"/>
                <w:noProof/>
                <w:lang w:val="hr-HR"/>
              </w:rPr>
              <w:t>Cijene</w:t>
            </w:r>
            <w:r w:rsidR="00D93D3F">
              <w:rPr>
                <w:noProof/>
                <w:webHidden/>
              </w:rPr>
              <w:tab/>
            </w:r>
            <w:r w:rsidR="00D93D3F">
              <w:rPr>
                <w:noProof/>
                <w:webHidden/>
              </w:rPr>
              <w:fldChar w:fldCharType="begin"/>
            </w:r>
            <w:r w:rsidR="00D93D3F">
              <w:rPr>
                <w:noProof/>
                <w:webHidden/>
              </w:rPr>
              <w:instrText xml:space="preserve"> PAGEREF _Toc6418611 \h </w:instrText>
            </w:r>
            <w:r w:rsidR="00D93D3F">
              <w:rPr>
                <w:noProof/>
                <w:webHidden/>
              </w:rPr>
            </w:r>
            <w:r w:rsidR="00D93D3F">
              <w:rPr>
                <w:noProof/>
                <w:webHidden/>
              </w:rPr>
              <w:fldChar w:fldCharType="separate"/>
            </w:r>
            <w:r w:rsidR="00572AFD">
              <w:rPr>
                <w:noProof/>
                <w:webHidden/>
              </w:rPr>
              <w:t>14</w:t>
            </w:r>
            <w:r w:rsidR="00D93D3F">
              <w:rPr>
                <w:noProof/>
                <w:webHidden/>
              </w:rPr>
              <w:fldChar w:fldCharType="end"/>
            </w:r>
          </w:hyperlink>
        </w:p>
        <w:p w14:paraId="1E8BFDA9" w14:textId="77777777" w:rsidR="00D93D3F" w:rsidRDefault="005D1222">
          <w:pPr>
            <w:pStyle w:val="TOC2"/>
            <w:rPr>
              <w:rFonts w:eastAsiaTheme="minorEastAsia"/>
              <w:noProof/>
              <w:lang w:eastAsia="en-GB"/>
            </w:rPr>
          </w:pPr>
          <w:hyperlink w:anchor="_Toc6418612" w:history="1">
            <w:r w:rsidR="00D93D3F" w:rsidRPr="002F6B47">
              <w:rPr>
                <w:rStyle w:val="Hyperlink"/>
                <w:noProof/>
                <w:lang w:val="hr-HR"/>
              </w:rPr>
              <w:t>2.4.</w:t>
            </w:r>
            <w:r w:rsidR="00D93D3F">
              <w:rPr>
                <w:rFonts w:eastAsiaTheme="minorEastAsia"/>
                <w:noProof/>
                <w:lang w:eastAsia="en-GB"/>
              </w:rPr>
              <w:tab/>
            </w:r>
            <w:r w:rsidR="00D93D3F" w:rsidRPr="002F6B47">
              <w:rPr>
                <w:rStyle w:val="Hyperlink"/>
                <w:noProof/>
                <w:lang w:val="hr-HR"/>
              </w:rPr>
              <w:t>Tržište rada</w:t>
            </w:r>
            <w:r w:rsidR="00D93D3F">
              <w:rPr>
                <w:noProof/>
                <w:webHidden/>
              </w:rPr>
              <w:tab/>
            </w:r>
            <w:r w:rsidR="00D93D3F">
              <w:rPr>
                <w:noProof/>
                <w:webHidden/>
              </w:rPr>
              <w:fldChar w:fldCharType="begin"/>
            </w:r>
            <w:r w:rsidR="00D93D3F">
              <w:rPr>
                <w:noProof/>
                <w:webHidden/>
              </w:rPr>
              <w:instrText xml:space="preserve"> PAGEREF _Toc6418612 \h </w:instrText>
            </w:r>
            <w:r w:rsidR="00D93D3F">
              <w:rPr>
                <w:noProof/>
                <w:webHidden/>
              </w:rPr>
            </w:r>
            <w:r w:rsidR="00D93D3F">
              <w:rPr>
                <w:noProof/>
                <w:webHidden/>
              </w:rPr>
              <w:fldChar w:fldCharType="separate"/>
            </w:r>
            <w:r w:rsidR="00572AFD">
              <w:rPr>
                <w:noProof/>
                <w:webHidden/>
              </w:rPr>
              <w:t>16</w:t>
            </w:r>
            <w:r w:rsidR="00D93D3F">
              <w:rPr>
                <w:noProof/>
                <w:webHidden/>
              </w:rPr>
              <w:fldChar w:fldCharType="end"/>
            </w:r>
          </w:hyperlink>
        </w:p>
        <w:p w14:paraId="7B8EF4AA" w14:textId="77777777" w:rsidR="00D93D3F" w:rsidRDefault="005D1222">
          <w:pPr>
            <w:pStyle w:val="TOC2"/>
            <w:rPr>
              <w:rFonts w:eastAsiaTheme="minorEastAsia"/>
              <w:noProof/>
              <w:lang w:eastAsia="en-GB"/>
            </w:rPr>
          </w:pPr>
          <w:hyperlink w:anchor="_Toc6418613" w:history="1">
            <w:r w:rsidR="00D93D3F" w:rsidRPr="002F6B47">
              <w:rPr>
                <w:rStyle w:val="Hyperlink"/>
                <w:noProof/>
                <w:lang w:val="hr-HR"/>
              </w:rPr>
              <w:t>2.5.</w:t>
            </w:r>
            <w:r w:rsidR="00D93D3F">
              <w:rPr>
                <w:rFonts w:eastAsiaTheme="minorEastAsia"/>
                <w:noProof/>
                <w:lang w:eastAsia="en-GB"/>
              </w:rPr>
              <w:tab/>
            </w:r>
            <w:r w:rsidR="00D93D3F" w:rsidRPr="002F6B47">
              <w:rPr>
                <w:rStyle w:val="Hyperlink"/>
                <w:noProof/>
                <w:lang w:val="hr-HR"/>
              </w:rPr>
              <w:t>Vanjski sektor</w:t>
            </w:r>
            <w:r w:rsidR="00D93D3F">
              <w:rPr>
                <w:noProof/>
                <w:webHidden/>
              </w:rPr>
              <w:tab/>
            </w:r>
            <w:r w:rsidR="00D93D3F">
              <w:rPr>
                <w:noProof/>
                <w:webHidden/>
              </w:rPr>
              <w:fldChar w:fldCharType="begin"/>
            </w:r>
            <w:r w:rsidR="00D93D3F">
              <w:rPr>
                <w:noProof/>
                <w:webHidden/>
              </w:rPr>
              <w:instrText xml:space="preserve"> PAGEREF _Toc6418613 \h </w:instrText>
            </w:r>
            <w:r w:rsidR="00D93D3F">
              <w:rPr>
                <w:noProof/>
                <w:webHidden/>
              </w:rPr>
            </w:r>
            <w:r w:rsidR="00D93D3F">
              <w:rPr>
                <w:noProof/>
                <w:webHidden/>
              </w:rPr>
              <w:fldChar w:fldCharType="separate"/>
            </w:r>
            <w:r w:rsidR="00572AFD">
              <w:rPr>
                <w:noProof/>
                <w:webHidden/>
              </w:rPr>
              <w:t>17</w:t>
            </w:r>
            <w:r w:rsidR="00D93D3F">
              <w:rPr>
                <w:noProof/>
                <w:webHidden/>
              </w:rPr>
              <w:fldChar w:fldCharType="end"/>
            </w:r>
          </w:hyperlink>
        </w:p>
        <w:p w14:paraId="364D0768" w14:textId="77777777" w:rsidR="00D93D3F" w:rsidRDefault="005D1222">
          <w:pPr>
            <w:pStyle w:val="TOC2"/>
            <w:rPr>
              <w:rFonts w:eastAsiaTheme="minorEastAsia"/>
              <w:noProof/>
              <w:lang w:eastAsia="en-GB"/>
            </w:rPr>
          </w:pPr>
          <w:hyperlink w:anchor="_Toc6418614" w:history="1">
            <w:r w:rsidR="00D93D3F" w:rsidRPr="002F6B47">
              <w:rPr>
                <w:rStyle w:val="Hyperlink"/>
                <w:noProof/>
                <w:lang w:val="hr-HR"/>
              </w:rPr>
              <w:t>2.6.</w:t>
            </w:r>
            <w:r w:rsidR="00D93D3F">
              <w:rPr>
                <w:rFonts w:eastAsiaTheme="minorEastAsia"/>
                <w:noProof/>
                <w:lang w:eastAsia="en-GB"/>
              </w:rPr>
              <w:tab/>
            </w:r>
            <w:r w:rsidR="00D93D3F" w:rsidRPr="002F6B47">
              <w:rPr>
                <w:rStyle w:val="Hyperlink"/>
                <w:noProof/>
                <w:lang w:val="hr-HR"/>
              </w:rPr>
              <w:t>Monetarna kretanja</w:t>
            </w:r>
            <w:r w:rsidR="00D93D3F">
              <w:rPr>
                <w:noProof/>
                <w:webHidden/>
              </w:rPr>
              <w:tab/>
            </w:r>
            <w:r w:rsidR="00D93D3F">
              <w:rPr>
                <w:noProof/>
                <w:webHidden/>
              </w:rPr>
              <w:fldChar w:fldCharType="begin"/>
            </w:r>
            <w:r w:rsidR="00D93D3F">
              <w:rPr>
                <w:noProof/>
                <w:webHidden/>
              </w:rPr>
              <w:instrText xml:space="preserve"> PAGEREF _Toc6418614 \h </w:instrText>
            </w:r>
            <w:r w:rsidR="00D93D3F">
              <w:rPr>
                <w:noProof/>
                <w:webHidden/>
              </w:rPr>
            </w:r>
            <w:r w:rsidR="00D93D3F">
              <w:rPr>
                <w:noProof/>
                <w:webHidden/>
              </w:rPr>
              <w:fldChar w:fldCharType="separate"/>
            </w:r>
            <w:r w:rsidR="00572AFD">
              <w:rPr>
                <w:noProof/>
                <w:webHidden/>
              </w:rPr>
              <w:t>18</w:t>
            </w:r>
            <w:r w:rsidR="00D93D3F">
              <w:rPr>
                <w:noProof/>
                <w:webHidden/>
              </w:rPr>
              <w:fldChar w:fldCharType="end"/>
            </w:r>
          </w:hyperlink>
        </w:p>
        <w:p w14:paraId="4421FF1E" w14:textId="77777777" w:rsidR="00D93D3F" w:rsidRDefault="005D1222">
          <w:pPr>
            <w:pStyle w:val="TOC2"/>
            <w:rPr>
              <w:rFonts w:eastAsiaTheme="minorEastAsia"/>
              <w:noProof/>
              <w:lang w:eastAsia="en-GB"/>
            </w:rPr>
          </w:pPr>
          <w:hyperlink w:anchor="_Toc6418615" w:history="1">
            <w:r w:rsidR="00D93D3F" w:rsidRPr="002F6B47">
              <w:rPr>
                <w:rStyle w:val="Hyperlink"/>
                <w:noProof/>
                <w:lang w:val="hr-HR"/>
              </w:rPr>
              <w:t>2.7.</w:t>
            </w:r>
            <w:r w:rsidR="00D93D3F">
              <w:rPr>
                <w:rFonts w:eastAsiaTheme="minorEastAsia"/>
                <w:noProof/>
                <w:lang w:eastAsia="en-GB"/>
              </w:rPr>
              <w:tab/>
            </w:r>
            <w:r w:rsidR="00D93D3F" w:rsidRPr="002F6B47">
              <w:rPr>
                <w:rStyle w:val="Hyperlink"/>
                <w:noProof/>
                <w:lang w:val="hr-HR"/>
              </w:rPr>
              <w:t>Rizici makroekonomskih projekcija</w:t>
            </w:r>
            <w:r w:rsidR="00D93D3F">
              <w:rPr>
                <w:noProof/>
                <w:webHidden/>
              </w:rPr>
              <w:tab/>
            </w:r>
            <w:r w:rsidR="00D93D3F">
              <w:rPr>
                <w:noProof/>
                <w:webHidden/>
              </w:rPr>
              <w:fldChar w:fldCharType="begin"/>
            </w:r>
            <w:r w:rsidR="00D93D3F">
              <w:rPr>
                <w:noProof/>
                <w:webHidden/>
              </w:rPr>
              <w:instrText xml:space="preserve"> PAGEREF _Toc6418615 \h </w:instrText>
            </w:r>
            <w:r w:rsidR="00D93D3F">
              <w:rPr>
                <w:noProof/>
                <w:webHidden/>
              </w:rPr>
            </w:r>
            <w:r w:rsidR="00D93D3F">
              <w:rPr>
                <w:noProof/>
                <w:webHidden/>
              </w:rPr>
              <w:fldChar w:fldCharType="separate"/>
            </w:r>
            <w:r w:rsidR="00572AFD">
              <w:rPr>
                <w:noProof/>
                <w:webHidden/>
              </w:rPr>
              <w:t>19</w:t>
            </w:r>
            <w:r w:rsidR="00D93D3F">
              <w:rPr>
                <w:noProof/>
                <w:webHidden/>
              </w:rPr>
              <w:fldChar w:fldCharType="end"/>
            </w:r>
          </w:hyperlink>
        </w:p>
        <w:p w14:paraId="6744EFAC" w14:textId="77777777" w:rsidR="00D93D3F" w:rsidRDefault="005D1222">
          <w:pPr>
            <w:pStyle w:val="TOC1"/>
            <w:rPr>
              <w:rFonts w:eastAsiaTheme="minorEastAsia"/>
              <w:noProof/>
              <w:lang w:eastAsia="en-GB"/>
            </w:rPr>
          </w:pPr>
          <w:hyperlink w:anchor="_Toc6418616" w:history="1">
            <w:r w:rsidR="00D93D3F" w:rsidRPr="002F6B47">
              <w:rPr>
                <w:rStyle w:val="Hyperlink"/>
                <w:noProof/>
                <w:lang w:val="hr-HR"/>
              </w:rPr>
              <w:t>3.</w:t>
            </w:r>
            <w:r w:rsidR="00D93D3F">
              <w:rPr>
                <w:rFonts w:eastAsiaTheme="minorEastAsia"/>
                <w:noProof/>
                <w:lang w:eastAsia="en-GB"/>
              </w:rPr>
              <w:tab/>
            </w:r>
            <w:r w:rsidR="00D93D3F" w:rsidRPr="002F6B47">
              <w:rPr>
                <w:rStyle w:val="Hyperlink"/>
                <w:noProof/>
                <w:lang w:val="hr-HR"/>
              </w:rPr>
              <w:t>PRORAČUN OPĆE DRŽAVE I JAVNI DUG</w:t>
            </w:r>
            <w:r w:rsidR="00D93D3F">
              <w:rPr>
                <w:noProof/>
                <w:webHidden/>
              </w:rPr>
              <w:tab/>
            </w:r>
            <w:r w:rsidR="00D93D3F">
              <w:rPr>
                <w:noProof/>
                <w:webHidden/>
              </w:rPr>
              <w:fldChar w:fldCharType="begin"/>
            </w:r>
            <w:r w:rsidR="00D93D3F">
              <w:rPr>
                <w:noProof/>
                <w:webHidden/>
              </w:rPr>
              <w:instrText xml:space="preserve"> PAGEREF _Toc6418616 \h </w:instrText>
            </w:r>
            <w:r w:rsidR="00D93D3F">
              <w:rPr>
                <w:noProof/>
                <w:webHidden/>
              </w:rPr>
            </w:r>
            <w:r w:rsidR="00D93D3F">
              <w:rPr>
                <w:noProof/>
                <w:webHidden/>
              </w:rPr>
              <w:fldChar w:fldCharType="separate"/>
            </w:r>
            <w:r w:rsidR="00572AFD">
              <w:rPr>
                <w:noProof/>
                <w:webHidden/>
              </w:rPr>
              <w:t>20</w:t>
            </w:r>
            <w:r w:rsidR="00D93D3F">
              <w:rPr>
                <w:noProof/>
                <w:webHidden/>
              </w:rPr>
              <w:fldChar w:fldCharType="end"/>
            </w:r>
          </w:hyperlink>
        </w:p>
        <w:p w14:paraId="5AAB8827" w14:textId="77777777" w:rsidR="00D93D3F" w:rsidRDefault="005D1222">
          <w:pPr>
            <w:pStyle w:val="TOC2"/>
            <w:rPr>
              <w:rFonts w:eastAsiaTheme="minorEastAsia"/>
              <w:noProof/>
              <w:lang w:eastAsia="en-GB"/>
            </w:rPr>
          </w:pPr>
          <w:hyperlink w:anchor="_Toc6418617" w:history="1">
            <w:r w:rsidR="00D93D3F" w:rsidRPr="002F6B47">
              <w:rPr>
                <w:rStyle w:val="Hyperlink"/>
                <w:noProof/>
                <w:lang w:val="hr-HR"/>
              </w:rPr>
              <w:t>3.1.</w:t>
            </w:r>
            <w:r w:rsidR="00D93D3F">
              <w:rPr>
                <w:rFonts w:eastAsiaTheme="minorEastAsia"/>
                <w:noProof/>
                <w:lang w:eastAsia="en-GB"/>
              </w:rPr>
              <w:tab/>
            </w:r>
            <w:r w:rsidR="00D93D3F" w:rsidRPr="002F6B47">
              <w:rPr>
                <w:rStyle w:val="Hyperlink"/>
                <w:noProof/>
                <w:lang w:val="hr-HR"/>
              </w:rPr>
              <w:t>Fiskalna politika</w:t>
            </w:r>
            <w:r w:rsidR="00D93D3F">
              <w:rPr>
                <w:noProof/>
                <w:webHidden/>
              </w:rPr>
              <w:tab/>
            </w:r>
            <w:r w:rsidR="00D93D3F">
              <w:rPr>
                <w:noProof/>
                <w:webHidden/>
              </w:rPr>
              <w:fldChar w:fldCharType="begin"/>
            </w:r>
            <w:r w:rsidR="00D93D3F">
              <w:rPr>
                <w:noProof/>
                <w:webHidden/>
              </w:rPr>
              <w:instrText xml:space="preserve"> PAGEREF _Toc6418617 \h </w:instrText>
            </w:r>
            <w:r w:rsidR="00D93D3F">
              <w:rPr>
                <w:noProof/>
                <w:webHidden/>
              </w:rPr>
            </w:r>
            <w:r w:rsidR="00D93D3F">
              <w:rPr>
                <w:noProof/>
                <w:webHidden/>
              </w:rPr>
              <w:fldChar w:fldCharType="separate"/>
            </w:r>
            <w:r w:rsidR="00572AFD">
              <w:rPr>
                <w:noProof/>
                <w:webHidden/>
              </w:rPr>
              <w:t>20</w:t>
            </w:r>
            <w:r w:rsidR="00D93D3F">
              <w:rPr>
                <w:noProof/>
                <w:webHidden/>
              </w:rPr>
              <w:fldChar w:fldCharType="end"/>
            </w:r>
          </w:hyperlink>
        </w:p>
        <w:p w14:paraId="019324E0" w14:textId="77777777" w:rsidR="00D93D3F" w:rsidRDefault="005D1222">
          <w:pPr>
            <w:pStyle w:val="TOC2"/>
            <w:rPr>
              <w:rFonts w:eastAsiaTheme="minorEastAsia"/>
              <w:noProof/>
              <w:lang w:eastAsia="en-GB"/>
            </w:rPr>
          </w:pPr>
          <w:hyperlink w:anchor="_Toc6418618" w:history="1">
            <w:r w:rsidR="00D93D3F" w:rsidRPr="002F6B47">
              <w:rPr>
                <w:rStyle w:val="Hyperlink"/>
                <w:noProof/>
                <w:lang w:val="hr-HR"/>
              </w:rPr>
              <w:t>3.2.</w:t>
            </w:r>
            <w:r w:rsidR="00D93D3F">
              <w:rPr>
                <w:rFonts w:eastAsiaTheme="minorEastAsia"/>
                <w:noProof/>
                <w:lang w:eastAsia="en-GB"/>
              </w:rPr>
              <w:tab/>
            </w:r>
            <w:r w:rsidR="00D93D3F" w:rsidRPr="002F6B47">
              <w:rPr>
                <w:rStyle w:val="Hyperlink"/>
                <w:noProof/>
                <w:lang w:val="hr-HR"/>
              </w:rPr>
              <w:t>Izvršavanje proračuna u 2018. godini</w:t>
            </w:r>
            <w:r w:rsidR="00D93D3F">
              <w:rPr>
                <w:noProof/>
                <w:webHidden/>
              </w:rPr>
              <w:tab/>
            </w:r>
            <w:r w:rsidR="00D93D3F">
              <w:rPr>
                <w:noProof/>
                <w:webHidden/>
              </w:rPr>
              <w:fldChar w:fldCharType="begin"/>
            </w:r>
            <w:r w:rsidR="00D93D3F">
              <w:rPr>
                <w:noProof/>
                <w:webHidden/>
              </w:rPr>
              <w:instrText xml:space="preserve"> PAGEREF _Toc6418618 \h </w:instrText>
            </w:r>
            <w:r w:rsidR="00D93D3F">
              <w:rPr>
                <w:noProof/>
                <w:webHidden/>
              </w:rPr>
            </w:r>
            <w:r w:rsidR="00D93D3F">
              <w:rPr>
                <w:noProof/>
                <w:webHidden/>
              </w:rPr>
              <w:fldChar w:fldCharType="separate"/>
            </w:r>
            <w:r w:rsidR="00572AFD">
              <w:rPr>
                <w:noProof/>
                <w:webHidden/>
              </w:rPr>
              <w:t>22</w:t>
            </w:r>
            <w:r w:rsidR="00D93D3F">
              <w:rPr>
                <w:noProof/>
                <w:webHidden/>
              </w:rPr>
              <w:fldChar w:fldCharType="end"/>
            </w:r>
          </w:hyperlink>
        </w:p>
        <w:p w14:paraId="04FA5DA6" w14:textId="77777777" w:rsidR="00D93D3F" w:rsidRDefault="005D1222">
          <w:pPr>
            <w:pStyle w:val="TOC2"/>
            <w:rPr>
              <w:rFonts w:eastAsiaTheme="minorEastAsia"/>
              <w:noProof/>
              <w:lang w:eastAsia="en-GB"/>
            </w:rPr>
          </w:pPr>
          <w:hyperlink w:anchor="_Toc6418619" w:history="1">
            <w:r w:rsidR="00D93D3F" w:rsidRPr="002F6B47">
              <w:rPr>
                <w:rStyle w:val="Hyperlink"/>
                <w:noProof/>
                <w:lang w:val="hr-HR"/>
              </w:rPr>
              <w:t>3.3.</w:t>
            </w:r>
            <w:r w:rsidR="00D93D3F">
              <w:rPr>
                <w:rFonts w:eastAsiaTheme="minorEastAsia"/>
                <w:noProof/>
                <w:lang w:eastAsia="en-GB"/>
              </w:rPr>
              <w:tab/>
            </w:r>
            <w:r w:rsidR="00D93D3F" w:rsidRPr="002F6B47">
              <w:rPr>
                <w:rStyle w:val="Hyperlink"/>
                <w:noProof/>
                <w:lang w:val="hr-HR"/>
              </w:rPr>
              <w:t>Proračun opće države u 2019. godini</w:t>
            </w:r>
            <w:r w:rsidR="00D93D3F">
              <w:rPr>
                <w:noProof/>
                <w:webHidden/>
              </w:rPr>
              <w:tab/>
            </w:r>
            <w:r w:rsidR="00D93D3F">
              <w:rPr>
                <w:noProof/>
                <w:webHidden/>
              </w:rPr>
              <w:fldChar w:fldCharType="begin"/>
            </w:r>
            <w:r w:rsidR="00D93D3F">
              <w:rPr>
                <w:noProof/>
                <w:webHidden/>
              </w:rPr>
              <w:instrText xml:space="preserve"> PAGEREF _Toc6418619 \h </w:instrText>
            </w:r>
            <w:r w:rsidR="00D93D3F">
              <w:rPr>
                <w:noProof/>
                <w:webHidden/>
              </w:rPr>
            </w:r>
            <w:r w:rsidR="00D93D3F">
              <w:rPr>
                <w:noProof/>
                <w:webHidden/>
              </w:rPr>
              <w:fldChar w:fldCharType="separate"/>
            </w:r>
            <w:r w:rsidR="00572AFD">
              <w:rPr>
                <w:noProof/>
                <w:webHidden/>
              </w:rPr>
              <w:t>24</w:t>
            </w:r>
            <w:r w:rsidR="00D93D3F">
              <w:rPr>
                <w:noProof/>
                <w:webHidden/>
              </w:rPr>
              <w:fldChar w:fldCharType="end"/>
            </w:r>
          </w:hyperlink>
        </w:p>
        <w:p w14:paraId="13E76C98" w14:textId="77777777" w:rsidR="00D93D3F" w:rsidRDefault="005D1222">
          <w:pPr>
            <w:pStyle w:val="TOC2"/>
            <w:rPr>
              <w:rFonts w:eastAsiaTheme="minorEastAsia"/>
              <w:noProof/>
              <w:lang w:eastAsia="en-GB"/>
            </w:rPr>
          </w:pPr>
          <w:hyperlink w:anchor="_Toc6418620" w:history="1">
            <w:r w:rsidR="00D93D3F" w:rsidRPr="002F6B47">
              <w:rPr>
                <w:rStyle w:val="Hyperlink"/>
                <w:noProof/>
                <w:lang w:val="hr-HR"/>
              </w:rPr>
              <w:t>3.4.</w:t>
            </w:r>
            <w:r w:rsidR="00D93D3F">
              <w:rPr>
                <w:rFonts w:eastAsiaTheme="minorEastAsia"/>
                <w:noProof/>
                <w:lang w:eastAsia="en-GB"/>
              </w:rPr>
              <w:tab/>
            </w:r>
            <w:r w:rsidR="00D93D3F" w:rsidRPr="002F6B47">
              <w:rPr>
                <w:rStyle w:val="Hyperlink"/>
                <w:noProof/>
                <w:lang w:val="hr-HR"/>
              </w:rPr>
              <w:t>Srednjoročni proračunski okvir (2020. – 2022.)</w:t>
            </w:r>
            <w:r w:rsidR="00D93D3F">
              <w:rPr>
                <w:noProof/>
                <w:webHidden/>
              </w:rPr>
              <w:tab/>
            </w:r>
            <w:r w:rsidR="00D93D3F">
              <w:rPr>
                <w:noProof/>
                <w:webHidden/>
              </w:rPr>
              <w:fldChar w:fldCharType="begin"/>
            </w:r>
            <w:r w:rsidR="00D93D3F">
              <w:rPr>
                <w:noProof/>
                <w:webHidden/>
              </w:rPr>
              <w:instrText xml:space="preserve"> PAGEREF _Toc6418620 \h </w:instrText>
            </w:r>
            <w:r w:rsidR="00D93D3F">
              <w:rPr>
                <w:noProof/>
                <w:webHidden/>
              </w:rPr>
            </w:r>
            <w:r w:rsidR="00D93D3F">
              <w:rPr>
                <w:noProof/>
                <w:webHidden/>
              </w:rPr>
              <w:fldChar w:fldCharType="separate"/>
            </w:r>
            <w:r w:rsidR="00572AFD">
              <w:rPr>
                <w:noProof/>
                <w:webHidden/>
              </w:rPr>
              <w:t>28</w:t>
            </w:r>
            <w:r w:rsidR="00D93D3F">
              <w:rPr>
                <w:noProof/>
                <w:webHidden/>
              </w:rPr>
              <w:fldChar w:fldCharType="end"/>
            </w:r>
          </w:hyperlink>
        </w:p>
        <w:p w14:paraId="303DC68A" w14:textId="77777777" w:rsidR="00D93D3F" w:rsidRDefault="005D1222">
          <w:pPr>
            <w:pStyle w:val="TOC2"/>
            <w:rPr>
              <w:rFonts w:eastAsiaTheme="minorEastAsia"/>
              <w:noProof/>
              <w:lang w:eastAsia="en-GB"/>
            </w:rPr>
          </w:pPr>
          <w:hyperlink w:anchor="_Toc6418621" w:history="1">
            <w:r w:rsidR="00D93D3F" w:rsidRPr="002F6B47">
              <w:rPr>
                <w:rStyle w:val="Hyperlink"/>
                <w:noProof/>
                <w:lang w:val="hr-HR"/>
              </w:rPr>
              <w:t>3.5.</w:t>
            </w:r>
            <w:r w:rsidR="00D93D3F">
              <w:rPr>
                <w:rFonts w:eastAsiaTheme="minorEastAsia"/>
                <w:noProof/>
                <w:lang w:eastAsia="en-GB"/>
              </w:rPr>
              <w:tab/>
            </w:r>
            <w:r w:rsidR="00D93D3F" w:rsidRPr="002F6B47">
              <w:rPr>
                <w:rStyle w:val="Hyperlink"/>
                <w:noProof/>
                <w:lang w:val="hr-HR"/>
              </w:rPr>
              <w:t>Procjena strukturnog salda i srednjoročni proračunski cilj (MTO)</w:t>
            </w:r>
            <w:r w:rsidR="00D93D3F">
              <w:rPr>
                <w:noProof/>
                <w:webHidden/>
              </w:rPr>
              <w:tab/>
            </w:r>
            <w:r w:rsidR="00D93D3F">
              <w:rPr>
                <w:noProof/>
                <w:webHidden/>
              </w:rPr>
              <w:fldChar w:fldCharType="begin"/>
            </w:r>
            <w:r w:rsidR="00D93D3F">
              <w:rPr>
                <w:noProof/>
                <w:webHidden/>
              </w:rPr>
              <w:instrText xml:space="preserve"> PAGEREF _Toc6418621 \h </w:instrText>
            </w:r>
            <w:r w:rsidR="00D93D3F">
              <w:rPr>
                <w:noProof/>
                <w:webHidden/>
              </w:rPr>
            </w:r>
            <w:r w:rsidR="00D93D3F">
              <w:rPr>
                <w:noProof/>
                <w:webHidden/>
              </w:rPr>
              <w:fldChar w:fldCharType="separate"/>
            </w:r>
            <w:r w:rsidR="00572AFD">
              <w:rPr>
                <w:noProof/>
                <w:webHidden/>
              </w:rPr>
              <w:t>29</w:t>
            </w:r>
            <w:r w:rsidR="00D93D3F">
              <w:rPr>
                <w:noProof/>
                <w:webHidden/>
              </w:rPr>
              <w:fldChar w:fldCharType="end"/>
            </w:r>
          </w:hyperlink>
        </w:p>
        <w:p w14:paraId="4CF662FF" w14:textId="77777777" w:rsidR="00D93D3F" w:rsidRDefault="005D1222">
          <w:pPr>
            <w:pStyle w:val="TOC2"/>
            <w:rPr>
              <w:rFonts w:eastAsiaTheme="minorEastAsia"/>
              <w:noProof/>
              <w:lang w:eastAsia="en-GB"/>
            </w:rPr>
          </w:pPr>
          <w:hyperlink w:anchor="_Toc6418622" w:history="1">
            <w:r w:rsidR="00D93D3F" w:rsidRPr="002F6B47">
              <w:rPr>
                <w:rStyle w:val="Hyperlink"/>
                <w:noProof/>
                <w:lang w:val="hr-HR"/>
              </w:rPr>
              <w:t>3.6.</w:t>
            </w:r>
            <w:r w:rsidR="00D93D3F">
              <w:rPr>
                <w:rFonts w:eastAsiaTheme="minorEastAsia"/>
                <w:noProof/>
                <w:lang w:eastAsia="en-GB"/>
              </w:rPr>
              <w:tab/>
            </w:r>
            <w:r w:rsidR="00D93D3F" w:rsidRPr="002F6B47">
              <w:rPr>
                <w:rStyle w:val="Hyperlink"/>
                <w:noProof/>
                <w:lang w:val="hr-HR"/>
              </w:rPr>
              <w:t>Stanje i projekcije kretanja javnog duga te stanje jamstava</w:t>
            </w:r>
            <w:r w:rsidR="00D93D3F">
              <w:rPr>
                <w:noProof/>
                <w:webHidden/>
              </w:rPr>
              <w:tab/>
            </w:r>
            <w:r w:rsidR="00D93D3F">
              <w:rPr>
                <w:noProof/>
                <w:webHidden/>
              </w:rPr>
              <w:fldChar w:fldCharType="begin"/>
            </w:r>
            <w:r w:rsidR="00D93D3F">
              <w:rPr>
                <w:noProof/>
                <w:webHidden/>
              </w:rPr>
              <w:instrText xml:space="preserve"> PAGEREF _Toc6418622 \h </w:instrText>
            </w:r>
            <w:r w:rsidR="00D93D3F">
              <w:rPr>
                <w:noProof/>
                <w:webHidden/>
              </w:rPr>
            </w:r>
            <w:r w:rsidR="00D93D3F">
              <w:rPr>
                <w:noProof/>
                <w:webHidden/>
              </w:rPr>
              <w:fldChar w:fldCharType="separate"/>
            </w:r>
            <w:r w:rsidR="00572AFD">
              <w:rPr>
                <w:noProof/>
                <w:webHidden/>
              </w:rPr>
              <w:t>30</w:t>
            </w:r>
            <w:r w:rsidR="00D93D3F">
              <w:rPr>
                <w:noProof/>
                <w:webHidden/>
              </w:rPr>
              <w:fldChar w:fldCharType="end"/>
            </w:r>
          </w:hyperlink>
        </w:p>
        <w:p w14:paraId="2340ABE7" w14:textId="77777777" w:rsidR="00D93D3F" w:rsidRDefault="005D1222">
          <w:pPr>
            <w:pStyle w:val="TOC1"/>
            <w:rPr>
              <w:rFonts w:eastAsiaTheme="minorEastAsia"/>
              <w:noProof/>
              <w:lang w:eastAsia="en-GB"/>
            </w:rPr>
          </w:pPr>
          <w:hyperlink w:anchor="_Toc6418623" w:history="1">
            <w:r w:rsidR="00D93D3F" w:rsidRPr="002F6B47">
              <w:rPr>
                <w:rStyle w:val="Hyperlink"/>
                <w:noProof/>
                <w:lang w:val="hr-HR"/>
              </w:rPr>
              <w:t>4.</w:t>
            </w:r>
            <w:r w:rsidR="00D93D3F">
              <w:rPr>
                <w:rFonts w:eastAsiaTheme="minorEastAsia"/>
                <w:noProof/>
                <w:lang w:eastAsia="en-GB"/>
              </w:rPr>
              <w:tab/>
            </w:r>
            <w:r w:rsidR="00D93D3F" w:rsidRPr="002F6B47">
              <w:rPr>
                <w:rStyle w:val="Hyperlink"/>
                <w:noProof/>
                <w:lang w:val="hr-HR"/>
              </w:rPr>
              <w:t>ANALIZA OSJETLJIVOSTI I USPOREDBA S PRETHODNIM PROGRAMOM</w:t>
            </w:r>
            <w:r w:rsidR="00D93D3F">
              <w:rPr>
                <w:noProof/>
                <w:webHidden/>
              </w:rPr>
              <w:tab/>
            </w:r>
            <w:r w:rsidR="00D93D3F">
              <w:rPr>
                <w:noProof/>
                <w:webHidden/>
              </w:rPr>
              <w:fldChar w:fldCharType="begin"/>
            </w:r>
            <w:r w:rsidR="00D93D3F">
              <w:rPr>
                <w:noProof/>
                <w:webHidden/>
              </w:rPr>
              <w:instrText xml:space="preserve"> PAGEREF _Toc6418623 \h </w:instrText>
            </w:r>
            <w:r w:rsidR="00D93D3F">
              <w:rPr>
                <w:noProof/>
                <w:webHidden/>
              </w:rPr>
            </w:r>
            <w:r w:rsidR="00D93D3F">
              <w:rPr>
                <w:noProof/>
                <w:webHidden/>
              </w:rPr>
              <w:fldChar w:fldCharType="separate"/>
            </w:r>
            <w:r w:rsidR="00572AFD">
              <w:rPr>
                <w:noProof/>
                <w:webHidden/>
              </w:rPr>
              <w:t>34</w:t>
            </w:r>
            <w:r w:rsidR="00D93D3F">
              <w:rPr>
                <w:noProof/>
                <w:webHidden/>
              </w:rPr>
              <w:fldChar w:fldCharType="end"/>
            </w:r>
          </w:hyperlink>
        </w:p>
        <w:p w14:paraId="030F798A" w14:textId="77777777" w:rsidR="00D93D3F" w:rsidRDefault="005D1222">
          <w:pPr>
            <w:pStyle w:val="TOC2"/>
            <w:rPr>
              <w:rFonts w:eastAsiaTheme="minorEastAsia"/>
              <w:noProof/>
              <w:lang w:eastAsia="en-GB"/>
            </w:rPr>
          </w:pPr>
          <w:hyperlink w:anchor="_Toc6418624" w:history="1">
            <w:r w:rsidR="00D93D3F" w:rsidRPr="002F6B47">
              <w:rPr>
                <w:rStyle w:val="Hyperlink"/>
                <w:noProof/>
                <w:lang w:val="hr-HR"/>
              </w:rPr>
              <w:t>4.1.</w:t>
            </w:r>
            <w:r w:rsidR="00D93D3F">
              <w:rPr>
                <w:rFonts w:eastAsiaTheme="minorEastAsia"/>
                <w:noProof/>
                <w:lang w:eastAsia="en-GB"/>
              </w:rPr>
              <w:tab/>
            </w:r>
            <w:r w:rsidR="00D93D3F" w:rsidRPr="002F6B47">
              <w:rPr>
                <w:rStyle w:val="Hyperlink"/>
                <w:noProof/>
                <w:lang w:val="hr-HR"/>
              </w:rPr>
              <w:t>Fiskalni rizici i testovi osjetljivosti kretanja javnog duga</w:t>
            </w:r>
            <w:r w:rsidR="00D93D3F">
              <w:rPr>
                <w:noProof/>
                <w:webHidden/>
              </w:rPr>
              <w:tab/>
            </w:r>
            <w:r w:rsidR="00D93D3F">
              <w:rPr>
                <w:noProof/>
                <w:webHidden/>
              </w:rPr>
              <w:fldChar w:fldCharType="begin"/>
            </w:r>
            <w:r w:rsidR="00D93D3F">
              <w:rPr>
                <w:noProof/>
                <w:webHidden/>
              </w:rPr>
              <w:instrText xml:space="preserve"> PAGEREF _Toc6418624 \h </w:instrText>
            </w:r>
            <w:r w:rsidR="00D93D3F">
              <w:rPr>
                <w:noProof/>
                <w:webHidden/>
              </w:rPr>
            </w:r>
            <w:r w:rsidR="00D93D3F">
              <w:rPr>
                <w:noProof/>
                <w:webHidden/>
              </w:rPr>
              <w:fldChar w:fldCharType="separate"/>
            </w:r>
            <w:r w:rsidR="00572AFD">
              <w:rPr>
                <w:noProof/>
                <w:webHidden/>
              </w:rPr>
              <w:t>34</w:t>
            </w:r>
            <w:r w:rsidR="00D93D3F">
              <w:rPr>
                <w:noProof/>
                <w:webHidden/>
              </w:rPr>
              <w:fldChar w:fldCharType="end"/>
            </w:r>
          </w:hyperlink>
        </w:p>
        <w:p w14:paraId="03B65497" w14:textId="77777777" w:rsidR="00D93D3F" w:rsidRDefault="005D1222">
          <w:pPr>
            <w:pStyle w:val="TOC2"/>
            <w:rPr>
              <w:rFonts w:eastAsiaTheme="minorEastAsia"/>
              <w:noProof/>
              <w:lang w:eastAsia="en-GB"/>
            </w:rPr>
          </w:pPr>
          <w:hyperlink w:anchor="_Toc6418625" w:history="1">
            <w:r w:rsidR="00D93D3F" w:rsidRPr="002F6B47">
              <w:rPr>
                <w:rStyle w:val="Hyperlink"/>
                <w:noProof/>
                <w:lang w:val="hr-HR"/>
              </w:rPr>
              <w:t>4.2.</w:t>
            </w:r>
            <w:r w:rsidR="00D93D3F">
              <w:rPr>
                <w:rFonts w:eastAsiaTheme="minorEastAsia"/>
                <w:noProof/>
                <w:lang w:eastAsia="en-GB"/>
              </w:rPr>
              <w:tab/>
            </w:r>
            <w:r w:rsidR="00D93D3F" w:rsidRPr="002F6B47">
              <w:rPr>
                <w:rStyle w:val="Hyperlink"/>
                <w:noProof/>
                <w:lang w:val="hr-HR"/>
              </w:rPr>
              <w:t>Usporedba s prethodnim Programom</w:t>
            </w:r>
            <w:r w:rsidR="00D93D3F">
              <w:rPr>
                <w:noProof/>
                <w:webHidden/>
              </w:rPr>
              <w:tab/>
            </w:r>
            <w:r w:rsidR="00D93D3F">
              <w:rPr>
                <w:noProof/>
                <w:webHidden/>
              </w:rPr>
              <w:fldChar w:fldCharType="begin"/>
            </w:r>
            <w:r w:rsidR="00D93D3F">
              <w:rPr>
                <w:noProof/>
                <w:webHidden/>
              </w:rPr>
              <w:instrText xml:space="preserve"> PAGEREF _Toc6418625 \h </w:instrText>
            </w:r>
            <w:r w:rsidR="00D93D3F">
              <w:rPr>
                <w:noProof/>
                <w:webHidden/>
              </w:rPr>
            </w:r>
            <w:r w:rsidR="00D93D3F">
              <w:rPr>
                <w:noProof/>
                <w:webHidden/>
              </w:rPr>
              <w:fldChar w:fldCharType="separate"/>
            </w:r>
            <w:r w:rsidR="00572AFD">
              <w:rPr>
                <w:noProof/>
                <w:webHidden/>
              </w:rPr>
              <w:t>35</w:t>
            </w:r>
            <w:r w:rsidR="00D93D3F">
              <w:rPr>
                <w:noProof/>
                <w:webHidden/>
              </w:rPr>
              <w:fldChar w:fldCharType="end"/>
            </w:r>
          </w:hyperlink>
        </w:p>
        <w:p w14:paraId="04D7D3D7" w14:textId="77777777" w:rsidR="00D93D3F" w:rsidRDefault="005D1222">
          <w:pPr>
            <w:pStyle w:val="TOC1"/>
            <w:rPr>
              <w:rFonts w:eastAsiaTheme="minorEastAsia"/>
              <w:noProof/>
              <w:lang w:eastAsia="en-GB"/>
            </w:rPr>
          </w:pPr>
          <w:hyperlink w:anchor="_Toc6418626" w:history="1">
            <w:r w:rsidR="00D93D3F" w:rsidRPr="002F6B47">
              <w:rPr>
                <w:rStyle w:val="Hyperlink"/>
                <w:noProof/>
                <w:lang w:val="hr-HR"/>
              </w:rPr>
              <w:t>5.</w:t>
            </w:r>
            <w:r w:rsidR="00D93D3F">
              <w:rPr>
                <w:rFonts w:eastAsiaTheme="minorEastAsia"/>
                <w:noProof/>
                <w:lang w:eastAsia="en-GB"/>
              </w:rPr>
              <w:tab/>
            </w:r>
            <w:r w:rsidR="00D93D3F" w:rsidRPr="002F6B47">
              <w:rPr>
                <w:rStyle w:val="Hyperlink"/>
                <w:noProof/>
                <w:lang w:val="hr-HR"/>
              </w:rPr>
              <w:t>ODRŽIVOST JAVNIH FINANCIJA</w:t>
            </w:r>
            <w:r w:rsidR="00D93D3F">
              <w:rPr>
                <w:noProof/>
                <w:webHidden/>
              </w:rPr>
              <w:tab/>
            </w:r>
            <w:r w:rsidR="00D93D3F">
              <w:rPr>
                <w:noProof/>
                <w:webHidden/>
              </w:rPr>
              <w:fldChar w:fldCharType="begin"/>
            </w:r>
            <w:r w:rsidR="00D93D3F">
              <w:rPr>
                <w:noProof/>
                <w:webHidden/>
              </w:rPr>
              <w:instrText xml:space="preserve"> PAGEREF _Toc6418626 \h </w:instrText>
            </w:r>
            <w:r w:rsidR="00D93D3F">
              <w:rPr>
                <w:noProof/>
                <w:webHidden/>
              </w:rPr>
            </w:r>
            <w:r w:rsidR="00D93D3F">
              <w:rPr>
                <w:noProof/>
                <w:webHidden/>
              </w:rPr>
              <w:fldChar w:fldCharType="separate"/>
            </w:r>
            <w:r w:rsidR="00572AFD">
              <w:rPr>
                <w:noProof/>
                <w:webHidden/>
              </w:rPr>
              <w:t>37</w:t>
            </w:r>
            <w:r w:rsidR="00D93D3F">
              <w:rPr>
                <w:noProof/>
                <w:webHidden/>
              </w:rPr>
              <w:fldChar w:fldCharType="end"/>
            </w:r>
          </w:hyperlink>
        </w:p>
        <w:p w14:paraId="66E6A54D" w14:textId="77777777" w:rsidR="00D93D3F" w:rsidRDefault="005D1222">
          <w:pPr>
            <w:pStyle w:val="TOC1"/>
            <w:rPr>
              <w:rFonts w:eastAsiaTheme="minorEastAsia"/>
              <w:noProof/>
              <w:lang w:eastAsia="en-GB"/>
            </w:rPr>
          </w:pPr>
          <w:hyperlink w:anchor="_Toc6418627" w:history="1">
            <w:r w:rsidR="00D93D3F" w:rsidRPr="002F6B47">
              <w:rPr>
                <w:rStyle w:val="Hyperlink"/>
                <w:noProof/>
                <w:lang w:val="hr-HR"/>
              </w:rPr>
              <w:t>6.</w:t>
            </w:r>
            <w:r w:rsidR="00D93D3F">
              <w:rPr>
                <w:rFonts w:eastAsiaTheme="minorEastAsia"/>
                <w:noProof/>
                <w:lang w:eastAsia="en-GB"/>
              </w:rPr>
              <w:tab/>
            </w:r>
            <w:r w:rsidR="00D93D3F" w:rsidRPr="002F6B47">
              <w:rPr>
                <w:rStyle w:val="Hyperlink"/>
                <w:noProof/>
                <w:lang w:val="hr-HR"/>
              </w:rPr>
              <w:t>KVALITETA JAVNIH FINANCIJA</w:t>
            </w:r>
            <w:r w:rsidR="00D93D3F">
              <w:rPr>
                <w:noProof/>
                <w:webHidden/>
              </w:rPr>
              <w:tab/>
            </w:r>
            <w:r w:rsidR="00D93D3F">
              <w:rPr>
                <w:noProof/>
                <w:webHidden/>
              </w:rPr>
              <w:fldChar w:fldCharType="begin"/>
            </w:r>
            <w:r w:rsidR="00D93D3F">
              <w:rPr>
                <w:noProof/>
                <w:webHidden/>
              </w:rPr>
              <w:instrText xml:space="preserve"> PAGEREF _Toc6418627 \h </w:instrText>
            </w:r>
            <w:r w:rsidR="00D93D3F">
              <w:rPr>
                <w:noProof/>
                <w:webHidden/>
              </w:rPr>
            </w:r>
            <w:r w:rsidR="00D93D3F">
              <w:rPr>
                <w:noProof/>
                <w:webHidden/>
              </w:rPr>
              <w:fldChar w:fldCharType="separate"/>
            </w:r>
            <w:r w:rsidR="00572AFD">
              <w:rPr>
                <w:noProof/>
                <w:webHidden/>
              </w:rPr>
              <w:t>44</w:t>
            </w:r>
            <w:r w:rsidR="00D93D3F">
              <w:rPr>
                <w:noProof/>
                <w:webHidden/>
              </w:rPr>
              <w:fldChar w:fldCharType="end"/>
            </w:r>
          </w:hyperlink>
        </w:p>
        <w:p w14:paraId="3960737C" w14:textId="77777777" w:rsidR="00D93D3F" w:rsidRDefault="005D1222">
          <w:pPr>
            <w:pStyle w:val="TOC2"/>
            <w:rPr>
              <w:rFonts w:eastAsiaTheme="minorEastAsia"/>
              <w:noProof/>
              <w:lang w:eastAsia="en-GB"/>
            </w:rPr>
          </w:pPr>
          <w:hyperlink w:anchor="_Toc6418628" w:history="1">
            <w:r w:rsidR="00D93D3F" w:rsidRPr="002F6B47">
              <w:rPr>
                <w:rStyle w:val="Hyperlink"/>
                <w:noProof/>
                <w:lang w:val="hr-HR"/>
              </w:rPr>
              <w:t>6.1.</w:t>
            </w:r>
            <w:r w:rsidR="00D93D3F">
              <w:rPr>
                <w:rFonts w:eastAsiaTheme="minorEastAsia"/>
                <w:noProof/>
                <w:lang w:eastAsia="en-GB"/>
              </w:rPr>
              <w:tab/>
            </w:r>
            <w:r w:rsidR="00D93D3F" w:rsidRPr="002F6B47">
              <w:rPr>
                <w:rStyle w:val="Hyperlink"/>
                <w:noProof/>
                <w:lang w:val="hr-HR"/>
              </w:rPr>
              <w:t>Strateški okvir</w:t>
            </w:r>
            <w:r w:rsidR="00D93D3F">
              <w:rPr>
                <w:noProof/>
                <w:webHidden/>
              </w:rPr>
              <w:tab/>
            </w:r>
            <w:r w:rsidR="00D93D3F">
              <w:rPr>
                <w:noProof/>
                <w:webHidden/>
              </w:rPr>
              <w:fldChar w:fldCharType="begin"/>
            </w:r>
            <w:r w:rsidR="00D93D3F">
              <w:rPr>
                <w:noProof/>
                <w:webHidden/>
              </w:rPr>
              <w:instrText xml:space="preserve"> PAGEREF _Toc6418628 \h </w:instrText>
            </w:r>
            <w:r w:rsidR="00D93D3F">
              <w:rPr>
                <w:noProof/>
                <w:webHidden/>
              </w:rPr>
            </w:r>
            <w:r w:rsidR="00D93D3F">
              <w:rPr>
                <w:noProof/>
                <w:webHidden/>
              </w:rPr>
              <w:fldChar w:fldCharType="separate"/>
            </w:r>
            <w:r w:rsidR="00572AFD">
              <w:rPr>
                <w:noProof/>
                <w:webHidden/>
              </w:rPr>
              <w:t>44</w:t>
            </w:r>
            <w:r w:rsidR="00D93D3F">
              <w:rPr>
                <w:noProof/>
                <w:webHidden/>
              </w:rPr>
              <w:fldChar w:fldCharType="end"/>
            </w:r>
          </w:hyperlink>
        </w:p>
        <w:p w14:paraId="443B404D" w14:textId="77777777" w:rsidR="00D93D3F" w:rsidRDefault="005D1222">
          <w:pPr>
            <w:pStyle w:val="TOC2"/>
            <w:rPr>
              <w:rFonts w:eastAsiaTheme="minorEastAsia"/>
              <w:noProof/>
              <w:lang w:eastAsia="en-GB"/>
            </w:rPr>
          </w:pPr>
          <w:hyperlink w:anchor="_Toc6418629" w:history="1">
            <w:r w:rsidR="00D93D3F" w:rsidRPr="002F6B47">
              <w:rPr>
                <w:rStyle w:val="Hyperlink"/>
                <w:noProof/>
                <w:lang w:val="hr-HR"/>
              </w:rPr>
              <w:t>6.2.</w:t>
            </w:r>
            <w:r w:rsidR="00D93D3F">
              <w:rPr>
                <w:rFonts w:eastAsiaTheme="minorEastAsia"/>
                <w:noProof/>
                <w:lang w:eastAsia="en-GB"/>
              </w:rPr>
              <w:tab/>
            </w:r>
            <w:r w:rsidR="00D93D3F" w:rsidRPr="002F6B47">
              <w:rPr>
                <w:rStyle w:val="Hyperlink"/>
                <w:noProof/>
                <w:lang w:val="hr-HR"/>
              </w:rPr>
              <w:t>Mjere na prihodnoj strani proračuna</w:t>
            </w:r>
            <w:r w:rsidR="00D93D3F">
              <w:rPr>
                <w:noProof/>
                <w:webHidden/>
              </w:rPr>
              <w:tab/>
            </w:r>
            <w:r w:rsidR="00D93D3F">
              <w:rPr>
                <w:noProof/>
                <w:webHidden/>
              </w:rPr>
              <w:fldChar w:fldCharType="begin"/>
            </w:r>
            <w:r w:rsidR="00D93D3F">
              <w:rPr>
                <w:noProof/>
                <w:webHidden/>
              </w:rPr>
              <w:instrText xml:space="preserve"> PAGEREF _Toc6418629 \h </w:instrText>
            </w:r>
            <w:r w:rsidR="00D93D3F">
              <w:rPr>
                <w:noProof/>
                <w:webHidden/>
              </w:rPr>
            </w:r>
            <w:r w:rsidR="00D93D3F">
              <w:rPr>
                <w:noProof/>
                <w:webHidden/>
              </w:rPr>
              <w:fldChar w:fldCharType="separate"/>
            </w:r>
            <w:r w:rsidR="00572AFD">
              <w:rPr>
                <w:noProof/>
                <w:webHidden/>
              </w:rPr>
              <w:t>44</w:t>
            </w:r>
            <w:r w:rsidR="00D93D3F">
              <w:rPr>
                <w:noProof/>
                <w:webHidden/>
              </w:rPr>
              <w:fldChar w:fldCharType="end"/>
            </w:r>
          </w:hyperlink>
        </w:p>
        <w:p w14:paraId="301EA529" w14:textId="77777777" w:rsidR="00D93D3F" w:rsidRDefault="005D1222">
          <w:pPr>
            <w:pStyle w:val="TOC2"/>
            <w:rPr>
              <w:rFonts w:eastAsiaTheme="minorEastAsia"/>
              <w:noProof/>
              <w:lang w:eastAsia="en-GB"/>
            </w:rPr>
          </w:pPr>
          <w:hyperlink w:anchor="_Toc6418630" w:history="1">
            <w:r w:rsidR="00D93D3F" w:rsidRPr="002F6B47">
              <w:rPr>
                <w:rStyle w:val="Hyperlink"/>
                <w:noProof/>
                <w:lang w:val="hr-HR"/>
              </w:rPr>
              <w:t>6.3.</w:t>
            </w:r>
            <w:r w:rsidR="00D93D3F">
              <w:rPr>
                <w:rFonts w:eastAsiaTheme="minorEastAsia"/>
                <w:noProof/>
                <w:lang w:eastAsia="en-GB"/>
              </w:rPr>
              <w:tab/>
            </w:r>
            <w:r w:rsidR="00D93D3F" w:rsidRPr="002F6B47">
              <w:rPr>
                <w:rStyle w:val="Hyperlink"/>
                <w:noProof/>
                <w:lang w:val="hr-HR"/>
              </w:rPr>
              <w:t>Mjere za poboljšanje učinkovitosti rashoda proračuna</w:t>
            </w:r>
            <w:r w:rsidR="00D93D3F">
              <w:rPr>
                <w:noProof/>
                <w:webHidden/>
              </w:rPr>
              <w:tab/>
            </w:r>
            <w:r w:rsidR="00D93D3F">
              <w:rPr>
                <w:noProof/>
                <w:webHidden/>
              </w:rPr>
              <w:fldChar w:fldCharType="begin"/>
            </w:r>
            <w:r w:rsidR="00D93D3F">
              <w:rPr>
                <w:noProof/>
                <w:webHidden/>
              </w:rPr>
              <w:instrText xml:space="preserve"> PAGEREF _Toc6418630 \h </w:instrText>
            </w:r>
            <w:r w:rsidR="00D93D3F">
              <w:rPr>
                <w:noProof/>
                <w:webHidden/>
              </w:rPr>
            </w:r>
            <w:r w:rsidR="00D93D3F">
              <w:rPr>
                <w:noProof/>
                <w:webHidden/>
              </w:rPr>
              <w:fldChar w:fldCharType="separate"/>
            </w:r>
            <w:r w:rsidR="00572AFD">
              <w:rPr>
                <w:noProof/>
                <w:webHidden/>
              </w:rPr>
              <w:t>47</w:t>
            </w:r>
            <w:r w:rsidR="00D93D3F">
              <w:rPr>
                <w:noProof/>
                <w:webHidden/>
              </w:rPr>
              <w:fldChar w:fldCharType="end"/>
            </w:r>
          </w:hyperlink>
        </w:p>
        <w:p w14:paraId="22B2F1E9" w14:textId="77777777" w:rsidR="00D93D3F" w:rsidRDefault="005D1222">
          <w:pPr>
            <w:pStyle w:val="TOC1"/>
            <w:rPr>
              <w:rFonts w:eastAsiaTheme="minorEastAsia"/>
              <w:noProof/>
              <w:lang w:eastAsia="en-GB"/>
            </w:rPr>
          </w:pPr>
          <w:hyperlink w:anchor="_Toc6418631" w:history="1">
            <w:r w:rsidR="00D93D3F" w:rsidRPr="002F6B47">
              <w:rPr>
                <w:rStyle w:val="Hyperlink"/>
                <w:noProof/>
                <w:lang w:val="hr-HR"/>
              </w:rPr>
              <w:t>7.</w:t>
            </w:r>
            <w:r w:rsidR="00D93D3F">
              <w:rPr>
                <w:rFonts w:eastAsiaTheme="minorEastAsia"/>
                <w:noProof/>
                <w:lang w:eastAsia="en-GB"/>
              </w:rPr>
              <w:tab/>
            </w:r>
            <w:r w:rsidR="00D93D3F" w:rsidRPr="002F6B47">
              <w:rPr>
                <w:rStyle w:val="Hyperlink"/>
                <w:noProof/>
                <w:lang w:val="hr-HR"/>
              </w:rPr>
              <w:t>INSTITUCIONALNA OBILJEŽJA JAVNIH FINANCIJA</w:t>
            </w:r>
            <w:r w:rsidR="00D93D3F">
              <w:rPr>
                <w:noProof/>
                <w:webHidden/>
              </w:rPr>
              <w:tab/>
            </w:r>
            <w:r w:rsidR="00D93D3F">
              <w:rPr>
                <w:noProof/>
                <w:webHidden/>
              </w:rPr>
              <w:fldChar w:fldCharType="begin"/>
            </w:r>
            <w:r w:rsidR="00D93D3F">
              <w:rPr>
                <w:noProof/>
                <w:webHidden/>
              </w:rPr>
              <w:instrText xml:space="preserve"> PAGEREF _Toc6418631 \h </w:instrText>
            </w:r>
            <w:r w:rsidR="00D93D3F">
              <w:rPr>
                <w:noProof/>
                <w:webHidden/>
              </w:rPr>
            </w:r>
            <w:r w:rsidR="00D93D3F">
              <w:rPr>
                <w:noProof/>
                <w:webHidden/>
              </w:rPr>
              <w:fldChar w:fldCharType="separate"/>
            </w:r>
            <w:r w:rsidR="00572AFD">
              <w:rPr>
                <w:noProof/>
                <w:webHidden/>
              </w:rPr>
              <w:t>51</w:t>
            </w:r>
            <w:r w:rsidR="00D93D3F">
              <w:rPr>
                <w:noProof/>
                <w:webHidden/>
              </w:rPr>
              <w:fldChar w:fldCharType="end"/>
            </w:r>
          </w:hyperlink>
        </w:p>
        <w:p w14:paraId="45F72D38" w14:textId="77777777" w:rsidR="00D93D3F" w:rsidRDefault="005D1222">
          <w:pPr>
            <w:pStyle w:val="TOC1"/>
            <w:rPr>
              <w:rFonts w:eastAsiaTheme="minorEastAsia"/>
              <w:noProof/>
              <w:lang w:eastAsia="en-GB"/>
            </w:rPr>
          </w:pPr>
          <w:hyperlink w:anchor="_Toc6418632" w:history="1">
            <w:r w:rsidR="00D93D3F" w:rsidRPr="002F6B47">
              <w:rPr>
                <w:rStyle w:val="Hyperlink"/>
                <w:noProof/>
                <w:lang w:val="hr-HR"/>
              </w:rPr>
              <w:t>PRILOZI</w:t>
            </w:r>
            <w:r w:rsidR="00D93D3F">
              <w:rPr>
                <w:noProof/>
                <w:webHidden/>
              </w:rPr>
              <w:tab/>
            </w:r>
            <w:r w:rsidR="00D93D3F">
              <w:rPr>
                <w:noProof/>
                <w:webHidden/>
              </w:rPr>
              <w:fldChar w:fldCharType="begin"/>
            </w:r>
            <w:r w:rsidR="00D93D3F">
              <w:rPr>
                <w:noProof/>
                <w:webHidden/>
              </w:rPr>
              <w:instrText xml:space="preserve"> PAGEREF _Toc6418632 \h </w:instrText>
            </w:r>
            <w:r w:rsidR="00D93D3F">
              <w:rPr>
                <w:noProof/>
                <w:webHidden/>
              </w:rPr>
            </w:r>
            <w:r w:rsidR="00D93D3F">
              <w:rPr>
                <w:noProof/>
                <w:webHidden/>
              </w:rPr>
              <w:fldChar w:fldCharType="separate"/>
            </w:r>
            <w:r w:rsidR="00572AFD">
              <w:rPr>
                <w:noProof/>
                <w:webHidden/>
              </w:rPr>
              <w:t>56</w:t>
            </w:r>
            <w:r w:rsidR="00D93D3F">
              <w:rPr>
                <w:noProof/>
                <w:webHidden/>
              </w:rPr>
              <w:fldChar w:fldCharType="end"/>
            </w:r>
          </w:hyperlink>
        </w:p>
        <w:p w14:paraId="427BBF96" w14:textId="77777777" w:rsidR="006D300A" w:rsidRPr="004259D0" w:rsidRDefault="00AE6FDC" w:rsidP="00BE34EB">
          <w:pPr>
            <w:spacing w:after="0"/>
            <w:rPr>
              <w:b/>
              <w:bCs/>
              <w:lang w:val="hr-HR"/>
            </w:rPr>
          </w:pPr>
          <w:r w:rsidRPr="004259D0">
            <w:rPr>
              <w:b/>
              <w:bCs/>
              <w:lang w:val="hr-HR"/>
            </w:rPr>
            <w:fldChar w:fldCharType="end"/>
          </w:r>
        </w:p>
      </w:sdtContent>
    </w:sdt>
    <w:p w14:paraId="2071A5F3" w14:textId="77777777" w:rsidR="00AE6FDC" w:rsidRPr="004259D0" w:rsidRDefault="00AE6FDC" w:rsidP="006D300A">
      <w:pPr>
        <w:spacing w:line="240" w:lineRule="auto"/>
        <w:rPr>
          <w:lang w:val="hr-HR"/>
        </w:rPr>
      </w:pPr>
      <w:r w:rsidRPr="004259D0">
        <w:rPr>
          <w:lang w:val="hr-HR"/>
        </w:rPr>
        <w:br w:type="page"/>
      </w:r>
    </w:p>
    <w:p w14:paraId="42F8278E" w14:textId="77777777" w:rsidR="005C300C" w:rsidRPr="004259D0" w:rsidRDefault="005C300C" w:rsidP="009E0C96">
      <w:pPr>
        <w:pStyle w:val="Heading1"/>
        <w:ind w:left="1080"/>
        <w:rPr>
          <w:sz w:val="32"/>
          <w:lang w:val="hr-HR"/>
        </w:rPr>
      </w:pPr>
      <w:bookmarkStart w:id="3" w:name="_Toc6418604"/>
      <w:r w:rsidRPr="004259D0">
        <w:rPr>
          <w:sz w:val="32"/>
          <w:lang w:val="hr-HR"/>
        </w:rPr>
        <w:lastRenderedPageBreak/>
        <w:t>Popis tablica</w:t>
      </w:r>
      <w:bookmarkEnd w:id="3"/>
    </w:p>
    <w:p w14:paraId="451248FA" w14:textId="77777777" w:rsidR="006F61FF" w:rsidRPr="004259D0" w:rsidRDefault="006F61FF" w:rsidP="00236982">
      <w:pPr>
        <w:rPr>
          <w:lang w:val="hr-HR" w:eastAsia="ja-JP"/>
        </w:rPr>
      </w:pPr>
    </w:p>
    <w:p w14:paraId="3A76C66F" w14:textId="77777777" w:rsidR="00D93D3F" w:rsidRDefault="00A76B19">
      <w:pPr>
        <w:pStyle w:val="TableofFigures"/>
        <w:tabs>
          <w:tab w:val="right" w:leader="dot" w:pos="9062"/>
        </w:tabs>
        <w:rPr>
          <w:rFonts w:eastAsiaTheme="minorEastAsia"/>
          <w:noProof/>
          <w:lang w:eastAsia="en-GB"/>
        </w:rPr>
      </w:pPr>
      <w:r w:rsidRPr="004259D0">
        <w:rPr>
          <w:lang w:val="hr-HR" w:eastAsia="ja-JP"/>
        </w:rPr>
        <w:fldChar w:fldCharType="begin"/>
      </w:r>
      <w:r w:rsidRPr="004259D0">
        <w:rPr>
          <w:lang w:val="hr-HR" w:eastAsia="ja-JP"/>
        </w:rPr>
        <w:instrText xml:space="preserve"> TOC \h \z \c "Tablica" </w:instrText>
      </w:r>
      <w:r w:rsidRPr="004259D0">
        <w:rPr>
          <w:lang w:val="hr-HR" w:eastAsia="ja-JP"/>
        </w:rPr>
        <w:fldChar w:fldCharType="separate"/>
      </w:r>
      <w:hyperlink w:anchor="_Toc6418633" w:history="1">
        <w:r w:rsidR="00D93D3F" w:rsidRPr="0096466E">
          <w:rPr>
            <w:rStyle w:val="Hyperlink"/>
            <w:i/>
            <w:noProof/>
            <w:lang w:val="hr-HR"/>
          </w:rPr>
          <w:t>Tablica 2.1. Projekcija bruto domaćeg proizvoda</w:t>
        </w:r>
        <w:r w:rsidR="00D93D3F">
          <w:rPr>
            <w:noProof/>
            <w:webHidden/>
          </w:rPr>
          <w:tab/>
        </w:r>
        <w:r w:rsidR="00D93D3F">
          <w:rPr>
            <w:noProof/>
            <w:webHidden/>
          </w:rPr>
          <w:fldChar w:fldCharType="begin"/>
        </w:r>
        <w:r w:rsidR="00D93D3F">
          <w:rPr>
            <w:noProof/>
            <w:webHidden/>
          </w:rPr>
          <w:instrText xml:space="preserve"> PAGEREF _Toc6418633 \h </w:instrText>
        </w:r>
        <w:r w:rsidR="00D93D3F">
          <w:rPr>
            <w:noProof/>
            <w:webHidden/>
          </w:rPr>
        </w:r>
        <w:r w:rsidR="00D93D3F">
          <w:rPr>
            <w:noProof/>
            <w:webHidden/>
          </w:rPr>
          <w:fldChar w:fldCharType="separate"/>
        </w:r>
        <w:r w:rsidR="00572AFD">
          <w:rPr>
            <w:noProof/>
            <w:webHidden/>
          </w:rPr>
          <w:t>8</w:t>
        </w:r>
        <w:r w:rsidR="00D93D3F">
          <w:rPr>
            <w:noProof/>
            <w:webHidden/>
          </w:rPr>
          <w:fldChar w:fldCharType="end"/>
        </w:r>
      </w:hyperlink>
    </w:p>
    <w:p w14:paraId="79A76DE8" w14:textId="77777777" w:rsidR="00D93D3F" w:rsidRDefault="005D1222">
      <w:pPr>
        <w:pStyle w:val="TableofFigures"/>
        <w:tabs>
          <w:tab w:val="right" w:leader="dot" w:pos="9062"/>
        </w:tabs>
        <w:rPr>
          <w:rFonts w:eastAsiaTheme="minorEastAsia"/>
          <w:noProof/>
          <w:lang w:eastAsia="en-GB"/>
        </w:rPr>
      </w:pPr>
      <w:hyperlink w:anchor="_Toc6418634" w:history="1">
        <w:r w:rsidR="00D93D3F" w:rsidRPr="0096466E">
          <w:rPr>
            <w:rStyle w:val="Hyperlink"/>
            <w:i/>
            <w:noProof/>
            <w:lang w:val="hr-HR"/>
          </w:rPr>
          <w:t>Tablica 2.2. Bruto investicije u fiksni kapital po sektorima (realne stope promjene u %)</w:t>
        </w:r>
        <w:r w:rsidR="00D93D3F">
          <w:rPr>
            <w:noProof/>
            <w:webHidden/>
          </w:rPr>
          <w:tab/>
        </w:r>
        <w:r w:rsidR="00D93D3F">
          <w:rPr>
            <w:noProof/>
            <w:webHidden/>
          </w:rPr>
          <w:fldChar w:fldCharType="begin"/>
        </w:r>
        <w:r w:rsidR="00D93D3F">
          <w:rPr>
            <w:noProof/>
            <w:webHidden/>
          </w:rPr>
          <w:instrText xml:space="preserve"> PAGEREF _Toc6418634 \h </w:instrText>
        </w:r>
        <w:r w:rsidR="00D93D3F">
          <w:rPr>
            <w:noProof/>
            <w:webHidden/>
          </w:rPr>
        </w:r>
        <w:r w:rsidR="00D93D3F">
          <w:rPr>
            <w:noProof/>
            <w:webHidden/>
          </w:rPr>
          <w:fldChar w:fldCharType="separate"/>
        </w:r>
        <w:r w:rsidR="00572AFD">
          <w:rPr>
            <w:noProof/>
            <w:webHidden/>
          </w:rPr>
          <w:t>11</w:t>
        </w:r>
        <w:r w:rsidR="00D93D3F">
          <w:rPr>
            <w:noProof/>
            <w:webHidden/>
          </w:rPr>
          <w:fldChar w:fldCharType="end"/>
        </w:r>
      </w:hyperlink>
    </w:p>
    <w:p w14:paraId="27305877" w14:textId="77777777" w:rsidR="00D93D3F" w:rsidRDefault="005D1222">
      <w:pPr>
        <w:pStyle w:val="TableofFigures"/>
        <w:tabs>
          <w:tab w:val="right" w:leader="dot" w:pos="9062"/>
        </w:tabs>
        <w:rPr>
          <w:rFonts w:eastAsiaTheme="minorEastAsia"/>
          <w:noProof/>
          <w:lang w:eastAsia="en-GB"/>
        </w:rPr>
      </w:pPr>
      <w:hyperlink w:anchor="_Toc6418635" w:history="1">
        <w:r w:rsidR="00D93D3F" w:rsidRPr="0096466E">
          <w:rPr>
            <w:rStyle w:val="Hyperlink"/>
            <w:i/>
            <w:noProof/>
            <w:lang w:val="hr-HR"/>
          </w:rPr>
          <w:t>Tablica 2.3. Kretanje cijena</w:t>
        </w:r>
        <w:r w:rsidR="00D93D3F">
          <w:rPr>
            <w:noProof/>
            <w:webHidden/>
          </w:rPr>
          <w:tab/>
        </w:r>
        <w:r w:rsidR="00D93D3F">
          <w:rPr>
            <w:noProof/>
            <w:webHidden/>
          </w:rPr>
          <w:fldChar w:fldCharType="begin"/>
        </w:r>
        <w:r w:rsidR="00D93D3F">
          <w:rPr>
            <w:noProof/>
            <w:webHidden/>
          </w:rPr>
          <w:instrText xml:space="preserve"> PAGEREF _Toc6418635 \h </w:instrText>
        </w:r>
        <w:r w:rsidR="00D93D3F">
          <w:rPr>
            <w:noProof/>
            <w:webHidden/>
          </w:rPr>
        </w:r>
        <w:r w:rsidR="00D93D3F">
          <w:rPr>
            <w:noProof/>
            <w:webHidden/>
          </w:rPr>
          <w:fldChar w:fldCharType="separate"/>
        </w:r>
        <w:r w:rsidR="00572AFD">
          <w:rPr>
            <w:noProof/>
            <w:webHidden/>
          </w:rPr>
          <w:t>15</w:t>
        </w:r>
        <w:r w:rsidR="00D93D3F">
          <w:rPr>
            <w:noProof/>
            <w:webHidden/>
          </w:rPr>
          <w:fldChar w:fldCharType="end"/>
        </w:r>
      </w:hyperlink>
    </w:p>
    <w:p w14:paraId="04BE9863" w14:textId="77777777" w:rsidR="00D93D3F" w:rsidRDefault="005D1222">
      <w:pPr>
        <w:pStyle w:val="TableofFigures"/>
        <w:tabs>
          <w:tab w:val="right" w:leader="dot" w:pos="9062"/>
        </w:tabs>
        <w:rPr>
          <w:rFonts w:eastAsiaTheme="minorEastAsia"/>
          <w:noProof/>
          <w:lang w:eastAsia="en-GB"/>
        </w:rPr>
      </w:pPr>
      <w:hyperlink w:anchor="_Toc6418636" w:history="1">
        <w:r w:rsidR="00D93D3F" w:rsidRPr="0096466E">
          <w:rPr>
            <w:rStyle w:val="Hyperlink"/>
            <w:i/>
            <w:noProof/>
            <w:lang w:val="hr-HR"/>
          </w:rPr>
          <w:t>Tablica 2.4. Kretanja na tržištu rada</w:t>
        </w:r>
        <w:r w:rsidR="00D93D3F">
          <w:rPr>
            <w:noProof/>
            <w:webHidden/>
          </w:rPr>
          <w:tab/>
        </w:r>
        <w:r w:rsidR="00D93D3F">
          <w:rPr>
            <w:noProof/>
            <w:webHidden/>
          </w:rPr>
          <w:fldChar w:fldCharType="begin"/>
        </w:r>
        <w:r w:rsidR="00D93D3F">
          <w:rPr>
            <w:noProof/>
            <w:webHidden/>
          </w:rPr>
          <w:instrText xml:space="preserve"> PAGEREF _Toc6418636 \h </w:instrText>
        </w:r>
        <w:r w:rsidR="00D93D3F">
          <w:rPr>
            <w:noProof/>
            <w:webHidden/>
          </w:rPr>
        </w:r>
        <w:r w:rsidR="00D93D3F">
          <w:rPr>
            <w:noProof/>
            <w:webHidden/>
          </w:rPr>
          <w:fldChar w:fldCharType="separate"/>
        </w:r>
        <w:r w:rsidR="00572AFD">
          <w:rPr>
            <w:noProof/>
            <w:webHidden/>
          </w:rPr>
          <w:t>17</w:t>
        </w:r>
        <w:r w:rsidR="00D93D3F">
          <w:rPr>
            <w:noProof/>
            <w:webHidden/>
          </w:rPr>
          <w:fldChar w:fldCharType="end"/>
        </w:r>
      </w:hyperlink>
    </w:p>
    <w:p w14:paraId="1EE8C890" w14:textId="77777777" w:rsidR="00D93D3F" w:rsidRDefault="005D1222">
      <w:pPr>
        <w:pStyle w:val="TableofFigures"/>
        <w:tabs>
          <w:tab w:val="right" w:leader="dot" w:pos="9062"/>
        </w:tabs>
        <w:rPr>
          <w:rFonts w:eastAsiaTheme="minorEastAsia"/>
          <w:noProof/>
          <w:lang w:eastAsia="en-GB"/>
        </w:rPr>
      </w:pPr>
      <w:hyperlink w:anchor="_Toc6418637" w:history="1">
        <w:r w:rsidR="00D93D3F" w:rsidRPr="0096466E">
          <w:rPr>
            <w:rStyle w:val="Hyperlink"/>
            <w:i/>
            <w:noProof/>
            <w:lang w:val="hr-HR"/>
          </w:rPr>
          <w:t>Tablica 3.1. Diskrecijske prihodne mjere</w:t>
        </w:r>
        <w:r w:rsidR="00D93D3F">
          <w:rPr>
            <w:noProof/>
            <w:webHidden/>
          </w:rPr>
          <w:tab/>
        </w:r>
        <w:r w:rsidR="00D93D3F">
          <w:rPr>
            <w:noProof/>
            <w:webHidden/>
          </w:rPr>
          <w:fldChar w:fldCharType="begin"/>
        </w:r>
        <w:r w:rsidR="00D93D3F">
          <w:rPr>
            <w:noProof/>
            <w:webHidden/>
          </w:rPr>
          <w:instrText xml:space="preserve"> PAGEREF _Toc6418637 \h </w:instrText>
        </w:r>
        <w:r w:rsidR="00D93D3F">
          <w:rPr>
            <w:noProof/>
            <w:webHidden/>
          </w:rPr>
        </w:r>
        <w:r w:rsidR="00D93D3F">
          <w:rPr>
            <w:noProof/>
            <w:webHidden/>
          </w:rPr>
          <w:fldChar w:fldCharType="separate"/>
        </w:r>
        <w:r w:rsidR="00572AFD">
          <w:rPr>
            <w:noProof/>
            <w:webHidden/>
          </w:rPr>
          <w:t>25</w:t>
        </w:r>
        <w:r w:rsidR="00D93D3F">
          <w:rPr>
            <w:noProof/>
            <w:webHidden/>
          </w:rPr>
          <w:fldChar w:fldCharType="end"/>
        </w:r>
      </w:hyperlink>
    </w:p>
    <w:p w14:paraId="6362F16F" w14:textId="77777777" w:rsidR="00D93D3F" w:rsidRDefault="005D1222">
      <w:pPr>
        <w:pStyle w:val="TableofFigures"/>
        <w:tabs>
          <w:tab w:val="right" w:leader="dot" w:pos="9062"/>
        </w:tabs>
        <w:rPr>
          <w:rFonts w:eastAsiaTheme="minorEastAsia"/>
          <w:noProof/>
          <w:lang w:eastAsia="en-GB"/>
        </w:rPr>
      </w:pPr>
      <w:hyperlink w:anchor="_Toc6418638" w:history="1">
        <w:r w:rsidR="00D93D3F" w:rsidRPr="0096466E">
          <w:rPr>
            <w:rStyle w:val="Hyperlink"/>
            <w:i/>
            <w:noProof/>
            <w:lang w:val="hr-HR"/>
          </w:rPr>
          <w:t>Tablica 3.2. Kretanje strukturnog salda konsolidirane opće države u razdoblju 2018. - 2022.</w:t>
        </w:r>
        <w:r w:rsidR="00D93D3F">
          <w:rPr>
            <w:noProof/>
            <w:webHidden/>
          </w:rPr>
          <w:tab/>
        </w:r>
        <w:r w:rsidR="00D93D3F">
          <w:rPr>
            <w:noProof/>
            <w:webHidden/>
          </w:rPr>
          <w:fldChar w:fldCharType="begin"/>
        </w:r>
        <w:r w:rsidR="00D93D3F">
          <w:rPr>
            <w:noProof/>
            <w:webHidden/>
          </w:rPr>
          <w:instrText xml:space="preserve"> PAGEREF _Toc6418638 \h </w:instrText>
        </w:r>
        <w:r w:rsidR="00D93D3F">
          <w:rPr>
            <w:noProof/>
            <w:webHidden/>
          </w:rPr>
        </w:r>
        <w:r w:rsidR="00D93D3F">
          <w:rPr>
            <w:noProof/>
            <w:webHidden/>
          </w:rPr>
          <w:fldChar w:fldCharType="separate"/>
        </w:r>
        <w:r w:rsidR="00572AFD">
          <w:rPr>
            <w:noProof/>
            <w:webHidden/>
          </w:rPr>
          <w:t>30</w:t>
        </w:r>
        <w:r w:rsidR="00D93D3F">
          <w:rPr>
            <w:noProof/>
            <w:webHidden/>
          </w:rPr>
          <w:fldChar w:fldCharType="end"/>
        </w:r>
      </w:hyperlink>
    </w:p>
    <w:p w14:paraId="65D52735" w14:textId="77777777" w:rsidR="00D93D3F" w:rsidRDefault="005D1222">
      <w:pPr>
        <w:pStyle w:val="TableofFigures"/>
        <w:tabs>
          <w:tab w:val="right" w:leader="dot" w:pos="9062"/>
        </w:tabs>
        <w:rPr>
          <w:rFonts w:eastAsiaTheme="minorEastAsia"/>
          <w:noProof/>
          <w:lang w:eastAsia="en-GB"/>
        </w:rPr>
      </w:pPr>
      <w:hyperlink w:anchor="_Toc6418639" w:history="1">
        <w:r w:rsidR="00D93D3F" w:rsidRPr="0096466E">
          <w:rPr>
            <w:rStyle w:val="Hyperlink"/>
            <w:i/>
            <w:noProof/>
            <w:lang w:val="hr-HR"/>
          </w:rPr>
          <w:t>Tablica 3.3. Pregled dospijeća obveznica RH u razdoblju 2019. – 2022.</w:t>
        </w:r>
        <w:r w:rsidR="00D93D3F">
          <w:rPr>
            <w:noProof/>
            <w:webHidden/>
          </w:rPr>
          <w:tab/>
        </w:r>
        <w:r w:rsidR="00D93D3F">
          <w:rPr>
            <w:noProof/>
            <w:webHidden/>
          </w:rPr>
          <w:fldChar w:fldCharType="begin"/>
        </w:r>
        <w:r w:rsidR="00D93D3F">
          <w:rPr>
            <w:noProof/>
            <w:webHidden/>
          </w:rPr>
          <w:instrText xml:space="preserve"> PAGEREF _Toc6418639 \h </w:instrText>
        </w:r>
        <w:r w:rsidR="00D93D3F">
          <w:rPr>
            <w:noProof/>
            <w:webHidden/>
          </w:rPr>
        </w:r>
        <w:r w:rsidR="00D93D3F">
          <w:rPr>
            <w:noProof/>
            <w:webHidden/>
          </w:rPr>
          <w:fldChar w:fldCharType="separate"/>
        </w:r>
        <w:r w:rsidR="00572AFD">
          <w:rPr>
            <w:noProof/>
            <w:webHidden/>
          </w:rPr>
          <w:t>33</w:t>
        </w:r>
        <w:r w:rsidR="00D93D3F">
          <w:rPr>
            <w:noProof/>
            <w:webHidden/>
          </w:rPr>
          <w:fldChar w:fldCharType="end"/>
        </w:r>
      </w:hyperlink>
    </w:p>
    <w:p w14:paraId="3D4E0E12" w14:textId="77777777" w:rsidR="00D93D3F" w:rsidRDefault="005D1222">
      <w:pPr>
        <w:pStyle w:val="TableofFigures"/>
        <w:tabs>
          <w:tab w:val="right" w:leader="dot" w:pos="9062"/>
        </w:tabs>
        <w:rPr>
          <w:rFonts w:eastAsiaTheme="minorEastAsia"/>
          <w:noProof/>
          <w:lang w:eastAsia="en-GB"/>
        </w:rPr>
      </w:pPr>
      <w:hyperlink w:anchor="_Toc6418640" w:history="1">
        <w:r w:rsidR="00D93D3F" w:rsidRPr="0096466E">
          <w:rPr>
            <w:rStyle w:val="Hyperlink"/>
            <w:i/>
            <w:noProof/>
            <w:lang w:val="hr-HR"/>
          </w:rPr>
          <w:t>Tablica 4.1. Usporedba prihoda, rashoda i neto pozajmljivanja/zaduživanja opće države</w:t>
        </w:r>
        <w:r w:rsidR="00D93D3F">
          <w:rPr>
            <w:noProof/>
            <w:webHidden/>
          </w:rPr>
          <w:tab/>
        </w:r>
        <w:r w:rsidR="00D93D3F">
          <w:rPr>
            <w:noProof/>
            <w:webHidden/>
          </w:rPr>
          <w:fldChar w:fldCharType="begin"/>
        </w:r>
        <w:r w:rsidR="00D93D3F">
          <w:rPr>
            <w:noProof/>
            <w:webHidden/>
          </w:rPr>
          <w:instrText xml:space="preserve"> PAGEREF _Toc6418640 \h </w:instrText>
        </w:r>
        <w:r w:rsidR="00D93D3F">
          <w:rPr>
            <w:noProof/>
            <w:webHidden/>
          </w:rPr>
        </w:r>
        <w:r w:rsidR="00D93D3F">
          <w:rPr>
            <w:noProof/>
            <w:webHidden/>
          </w:rPr>
          <w:fldChar w:fldCharType="separate"/>
        </w:r>
        <w:r w:rsidR="00572AFD">
          <w:rPr>
            <w:noProof/>
            <w:webHidden/>
          </w:rPr>
          <w:t>36</w:t>
        </w:r>
        <w:r w:rsidR="00D93D3F">
          <w:rPr>
            <w:noProof/>
            <w:webHidden/>
          </w:rPr>
          <w:fldChar w:fldCharType="end"/>
        </w:r>
      </w:hyperlink>
    </w:p>
    <w:p w14:paraId="767E9F01" w14:textId="77777777" w:rsidR="00D93D3F" w:rsidRDefault="005D1222">
      <w:pPr>
        <w:pStyle w:val="TableofFigures"/>
        <w:tabs>
          <w:tab w:val="right" w:leader="dot" w:pos="9062"/>
        </w:tabs>
        <w:rPr>
          <w:rFonts w:eastAsiaTheme="minorEastAsia"/>
          <w:noProof/>
          <w:lang w:eastAsia="en-GB"/>
        </w:rPr>
      </w:pPr>
      <w:hyperlink w:anchor="_Toc6418641" w:history="1">
        <w:r w:rsidR="00D93D3F" w:rsidRPr="0096466E">
          <w:rPr>
            <w:rStyle w:val="Hyperlink"/>
            <w:i/>
            <w:noProof/>
            <w:lang w:val="hr-HR"/>
          </w:rPr>
          <w:t>Tablica 5.1. Rashodi za mirovine i mirovinski doprinosi u razdoblju 2016. - 2070. (% BDP-a)</w:t>
        </w:r>
        <w:r w:rsidR="00D93D3F">
          <w:rPr>
            <w:noProof/>
            <w:webHidden/>
          </w:rPr>
          <w:tab/>
        </w:r>
        <w:r w:rsidR="00D93D3F">
          <w:rPr>
            <w:noProof/>
            <w:webHidden/>
          </w:rPr>
          <w:fldChar w:fldCharType="begin"/>
        </w:r>
        <w:r w:rsidR="00D93D3F">
          <w:rPr>
            <w:noProof/>
            <w:webHidden/>
          </w:rPr>
          <w:instrText xml:space="preserve"> PAGEREF _Toc6418641 \h </w:instrText>
        </w:r>
        <w:r w:rsidR="00D93D3F">
          <w:rPr>
            <w:noProof/>
            <w:webHidden/>
          </w:rPr>
        </w:r>
        <w:r w:rsidR="00D93D3F">
          <w:rPr>
            <w:noProof/>
            <w:webHidden/>
          </w:rPr>
          <w:fldChar w:fldCharType="separate"/>
        </w:r>
        <w:r w:rsidR="00572AFD">
          <w:rPr>
            <w:noProof/>
            <w:webHidden/>
          </w:rPr>
          <w:t>42</w:t>
        </w:r>
        <w:r w:rsidR="00D93D3F">
          <w:rPr>
            <w:noProof/>
            <w:webHidden/>
          </w:rPr>
          <w:fldChar w:fldCharType="end"/>
        </w:r>
      </w:hyperlink>
    </w:p>
    <w:p w14:paraId="72A6DABA" w14:textId="77777777" w:rsidR="00D93D3F" w:rsidRDefault="005D1222">
      <w:pPr>
        <w:pStyle w:val="TableofFigures"/>
        <w:tabs>
          <w:tab w:val="right" w:leader="dot" w:pos="9062"/>
        </w:tabs>
        <w:rPr>
          <w:rFonts w:eastAsiaTheme="minorEastAsia"/>
          <w:noProof/>
          <w:lang w:eastAsia="en-GB"/>
        </w:rPr>
      </w:pPr>
      <w:hyperlink w:anchor="_Toc6418642" w:history="1">
        <w:r w:rsidR="00D93D3F" w:rsidRPr="0096466E">
          <w:rPr>
            <w:rStyle w:val="Hyperlink"/>
            <w:i/>
            <w:noProof/>
            <w:lang w:val="hr-HR"/>
          </w:rPr>
          <w:t>Tablica 5.2. Rashodi prvog mirovinskog stupa u razdoblju 2016. - 2070. (% BDP-a)</w:t>
        </w:r>
        <w:r w:rsidR="00D93D3F">
          <w:rPr>
            <w:noProof/>
            <w:webHidden/>
          </w:rPr>
          <w:tab/>
        </w:r>
        <w:r w:rsidR="00D93D3F">
          <w:rPr>
            <w:noProof/>
            <w:webHidden/>
          </w:rPr>
          <w:fldChar w:fldCharType="begin"/>
        </w:r>
        <w:r w:rsidR="00D93D3F">
          <w:rPr>
            <w:noProof/>
            <w:webHidden/>
          </w:rPr>
          <w:instrText xml:space="preserve"> PAGEREF _Toc6418642 \h </w:instrText>
        </w:r>
        <w:r w:rsidR="00D93D3F">
          <w:rPr>
            <w:noProof/>
            <w:webHidden/>
          </w:rPr>
        </w:r>
        <w:r w:rsidR="00D93D3F">
          <w:rPr>
            <w:noProof/>
            <w:webHidden/>
          </w:rPr>
          <w:fldChar w:fldCharType="separate"/>
        </w:r>
        <w:r w:rsidR="00572AFD">
          <w:rPr>
            <w:noProof/>
            <w:webHidden/>
          </w:rPr>
          <w:t>43</w:t>
        </w:r>
        <w:r w:rsidR="00D93D3F">
          <w:rPr>
            <w:noProof/>
            <w:webHidden/>
          </w:rPr>
          <w:fldChar w:fldCharType="end"/>
        </w:r>
      </w:hyperlink>
    </w:p>
    <w:p w14:paraId="18945F2C" w14:textId="77777777" w:rsidR="006F61FF" w:rsidRPr="004259D0" w:rsidRDefault="00A76B19" w:rsidP="00FF7990">
      <w:pPr>
        <w:spacing w:line="360" w:lineRule="auto"/>
        <w:rPr>
          <w:lang w:val="hr-HR" w:eastAsia="ja-JP"/>
        </w:rPr>
      </w:pPr>
      <w:r w:rsidRPr="004259D0">
        <w:rPr>
          <w:lang w:val="hr-HR" w:eastAsia="ja-JP"/>
        </w:rPr>
        <w:fldChar w:fldCharType="end"/>
      </w:r>
    </w:p>
    <w:p w14:paraId="0F13C9AB" w14:textId="77777777" w:rsidR="005C300C" w:rsidRPr="004259D0" w:rsidRDefault="005C300C" w:rsidP="009E0C96">
      <w:pPr>
        <w:pStyle w:val="Heading1"/>
        <w:ind w:left="1080"/>
        <w:rPr>
          <w:sz w:val="32"/>
          <w:lang w:val="hr-HR"/>
        </w:rPr>
      </w:pPr>
      <w:bookmarkStart w:id="4" w:name="_Toc6418605"/>
      <w:r w:rsidRPr="004259D0">
        <w:rPr>
          <w:sz w:val="32"/>
          <w:lang w:val="hr-HR"/>
        </w:rPr>
        <w:t>Popis grafikona</w:t>
      </w:r>
      <w:bookmarkEnd w:id="4"/>
    </w:p>
    <w:p w14:paraId="052C5ED2" w14:textId="77777777" w:rsidR="006F61FF" w:rsidRPr="004259D0" w:rsidRDefault="006F61FF" w:rsidP="00236982">
      <w:pPr>
        <w:rPr>
          <w:lang w:val="hr-HR" w:eastAsia="ja-JP"/>
        </w:rPr>
      </w:pPr>
    </w:p>
    <w:p w14:paraId="70E02AEF" w14:textId="77777777" w:rsidR="00D93D3F" w:rsidRDefault="00A76B19">
      <w:pPr>
        <w:pStyle w:val="TableofFigures"/>
        <w:tabs>
          <w:tab w:val="right" w:leader="dot" w:pos="9062"/>
        </w:tabs>
        <w:rPr>
          <w:rFonts w:eastAsiaTheme="minorEastAsia"/>
          <w:noProof/>
          <w:lang w:eastAsia="en-GB"/>
        </w:rPr>
      </w:pPr>
      <w:r w:rsidRPr="004259D0">
        <w:rPr>
          <w:lang w:val="hr-HR" w:eastAsia="ja-JP"/>
        </w:rPr>
        <w:fldChar w:fldCharType="begin"/>
      </w:r>
      <w:r w:rsidRPr="004259D0">
        <w:rPr>
          <w:lang w:val="hr-HR" w:eastAsia="ja-JP"/>
        </w:rPr>
        <w:instrText xml:space="preserve"> TOC \h \z \c "Grafikon" </w:instrText>
      </w:r>
      <w:r w:rsidRPr="004259D0">
        <w:rPr>
          <w:lang w:val="hr-HR" w:eastAsia="ja-JP"/>
        </w:rPr>
        <w:fldChar w:fldCharType="separate"/>
      </w:r>
      <w:hyperlink w:anchor="_Toc6418643" w:history="1">
        <w:r w:rsidR="00D93D3F" w:rsidRPr="00AF465D">
          <w:rPr>
            <w:rStyle w:val="Hyperlink"/>
            <w:i/>
            <w:noProof/>
            <w:lang w:val="hr-HR"/>
          </w:rPr>
          <w:t>Grafikon 2.1. Doprinosi rastu potencijalnog BDP-a</w:t>
        </w:r>
        <w:r w:rsidR="00D93D3F">
          <w:rPr>
            <w:noProof/>
            <w:webHidden/>
          </w:rPr>
          <w:tab/>
        </w:r>
        <w:r w:rsidR="00D93D3F">
          <w:rPr>
            <w:noProof/>
            <w:webHidden/>
          </w:rPr>
          <w:fldChar w:fldCharType="begin"/>
        </w:r>
        <w:r w:rsidR="00D93D3F">
          <w:rPr>
            <w:noProof/>
            <w:webHidden/>
          </w:rPr>
          <w:instrText xml:space="preserve"> PAGEREF _Toc6418643 \h </w:instrText>
        </w:r>
        <w:r w:rsidR="00D93D3F">
          <w:rPr>
            <w:noProof/>
            <w:webHidden/>
          </w:rPr>
        </w:r>
        <w:r w:rsidR="00D93D3F">
          <w:rPr>
            <w:noProof/>
            <w:webHidden/>
          </w:rPr>
          <w:fldChar w:fldCharType="separate"/>
        </w:r>
        <w:r w:rsidR="00572AFD">
          <w:rPr>
            <w:noProof/>
            <w:webHidden/>
          </w:rPr>
          <w:t>13</w:t>
        </w:r>
        <w:r w:rsidR="00D93D3F">
          <w:rPr>
            <w:noProof/>
            <w:webHidden/>
          </w:rPr>
          <w:fldChar w:fldCharType="end"/>
        </w:r>
      </w:hyperlink>
    </w:p>
    <w:p w14:paraId="62DC180C" w14:textId="77777777" w:rsidR="00D93D3F" w:rsidRDefault="005D1222">
      <w:pPr>
        <w:pStyle w:val="TableofFigures"/>
        <w:tabs>
          <w:tab w:val="right" w:leader="dot" w:pos="9062"/>
        </w:tabs>
        <w:rPr>
          <w:rFonts w:eastAsiaTheme="minorEastAsia"/>
          <w:noProof/>
          <w:lang w:eastAsia="en-GB"/>
        </w:rPr>
      </w:pPr>
      <w:hyperlink w:anchor="_Toc6418644" w:history="1">
        <w:r w:rsidR="00D93D3F" w:rsidRPr="00AF465D">
          <w:rPr>
            <w:rStyle w:val="Hyperlink"/>
            <w:i/>
            <w:noProof/>
            <w:lang w:val="hr-HR"/>
          </w:rPr>
          <w:t>Grafikon 2.2. Jaz bruto domaćeg proizvoda</w:t>
        </w:r>
        <w:r w:rsidR="00D93D3F">
          <w:rPr>
            <w:noProof/>
            <w:webHidden/>
          </w:rPr>
          <w:tab/>
        </w:r>
        <w:r w:rsidR="00D93D3F">
          <w:rPr>
            <w:noProof/>
            <w:webHidden/>
          </w:rPr>
          <w:fldChar w:fldCharType="begin"/>
        </w:r>
        <w:r w:rsidR="00D93D3F">
          <w:rPr>
            <w:noProof/>
            <w:webHidden/>
          </w:rPr>
          <w:instrText xml:space="preserve"> PAGEREF _Toc6418644 \h </w:instrText>
        </w:r>
        <w:r w:rsidR="00D93D3F">
          <w:rPr>
            <w:noProof/>
            <w:webHidden/>
          </w:rPr>
        </w:r>
        <w:r w:rsidR="00D93D3F">
          <w:rPr>
            <w:noProof/>
            <w:webHidden/>
          </w:rPr>
          <w:fldChar w:fldCharType="separate"/>
        </w:r>
        <w:r w:rsidR="00572AFD">
          <w:rPr>
            <w:noProof/>
            <w:webHidden/>
          </w:rPr>
          <w:t>14</w:t>
        </w:r>
        <w:r w:rsidR="00D93D3F">
          <w:rPr>
            <w:noProof/>
            <w:webHidden/>
          </w:rPr>
          <w:fldChar w:fldCharType="end"/>
        </w:r>
      </w:hyperlink>
    </w:p>
    <w:p w14:paraId="30935CB3" w14:textId="77777777" w:rsidR="00D93D3F" w:rsidRDefault="005D1222">
      <w:pPr>
        <w:pStyle w:val="TableofFigures"/>
        <w:tabs>
          <w:tab w:val="right" w:leader="dot" w:pos="9062"/>
        </w:tabs>
        <w:rPr>
          <w:rFonts w:eastAsiaTheme="minorEastAsia"/>
          <w:noProof/>
          <w:lang w:eastAsia="en-GB"/>
        </w:rPr>
      </w:pPr>
      <w:hyperlink w:anchor="_Toc6418645" w:history="1">
        <w:r w:rsidR="00D93D3F" w:rsidRPr="00AF465D">
          <w:rPr>
            <w:rStyle w:val="Hyperlink"/>
            <w:i/>
            <w:noProof/>
            <w:lang w:val="hr-HR"/>
          </w:rPr>
          <w:t>Grafikon 3.1. Kretanje javnog duga u razdoblju 2011. - 2018.</w:t>
        </w:r>
        <w:r w:rsidR="00D93D3F">
          <w:rPr>
            <w:noProof/>
            <w:webHidden/>
          </w:rPr>
          <w:tab/>
        </w:r>
        <w:r w:rsidR="00D93D3F">
          <w:rPr>
            <w:noProof/>
            <w:webHidden/>
          </w:rPr>
          <w:fldChar w:fldCharType="begin"/>
        </w:r>
        <w:r w:rsidR="00D93D3F">
          <w:rPr>
            <w:noProof/>
            <w:webHidden/>
          </w:rPr>
          <w:instrText xml:space="preserve"> PAGEREF _Toc6418645 \h </w:instrText>
        </w:r>
        <w:r w:rsidR="00D93D3F">
          <w:rPr>
            <w:noProof/>
            <w:webHidden/>
          </w:rPr>
        </w:r>
        <w:r w:rsidR="00D93D3F">
          <w:rPr>
            <w:noProof/>
            <w:webHidden/>
          </w:rPr>
          <w:fldChar w:fldCharType="separate"/>
        </w:r>
        <w:r w:rsidR="00572AFD">
          <w:rPr>
            <w:noProof/>
            <w:webHidden/>
          </w:rPr>
          <w:t>31</w:t>
        </w:r>
        <w:r w:rsidR="00D93D3F">
          <w:rPr>
            <w:noProof/>
            <w:webHidden/>
          </w:rPr>
          <w:fldChar w:fldCharType="end"/>
        </w:r>
      </w:hyperlink>
    </w:p>
    <w:p w14:paraId="20581ECA" w14:textId="77777777" w:rsidR="00D93D3F" w:rsidRDefault="005D1222">
      <w:pPr>
        <w:pStyle w:val="TableofFigures"/>
        <w:tabs>
          <w:tab w:val="right" w:leader="dot" w:pos="9062"/>
        </w:tabs>
        <w:rPr>
          <w:rFonts w:eastAsiaTheme="minorEastAsia"/>
          <w:noProof/>
          <w:lang w:eastAsia="en-GB"/>
        </w:rPr>
      </w:pPr>
      <w:hyperlink w:anchor="_Toc6418646" w:history="1">
        <w:r w:rsidR="00D93D3F" w:rsidRPr="00AF465D">
          <w:rPr>
            <w:rStyle w:val="Hyperlink"/>
            <w:i/>
            <w:noProof/>
            <w:lang w:val="hr-HR"/>
          </w:rPr>
          <w:t>Grafikon 3.2. Pregled kretanja javnog duga do 2022. godine</w:t>
        </w:r>
        <w:r w:rsidR="00D93D3F">
          <w:rPr>
            <w:noProof/>
            <w:webHidden/>
          </w:rPr>
          <w:tab/>
        </w:r>
        <w:r w:rsidR="00D93D3F">
          <w:rPr>
            <w:noProof/>
            <w:webHidden/>
          </w:rPr>
          <w:fldChar w:fldCharType="begin"/>
        </w:r>
        <w:r w:rsidR="00D93D3F">
          <w:rPr>
            <w:noProof/>
            <w:webHidden/>
          </w:rPr>
          <w:instrText xml:space="preserve"> PAGEREF _Toc6418646 \h </w:instrText>
        </w:r>
        <w:r w:rsidR="00D93D3F">
          <w:rPr>
            <w:noProof/>
            <w:webHidden/>
          </w:rPr>
        </w:r>
        <w:r w:rsidR="00D93D3F">
          <w:rPr>
            <w:noProof/>
            <w:webHidden/>
          </w:rPr>
          <w:fldChar w:fldCharType="separate"/>
        </w:r>
        <w:r w:rsidR="00572AFD">
          <w:rPr>
            <w:noProof/>
            <w:webHidden/>
          </w:rPr>
          <w:t>33</w:t>
        </w:r>
        <w:r w:rsidR="00D93D3F">
          <w:rPr>
            <w:noProof/>
            <w:webHidden/>
          </w:rPr>
          <w:fldChar w:fldCharType="end"/>
        </w:r>
      </w:hyperlink>
    </w:p>
    <w:p w14:paraId="6FA1E41A" w14:textId="77777777" w:rsidR="00D93D3F" w:rsidRDefault="005D1222">
      <w:pPr>
        <w:pStyle w:val="TableofFigures"/>
        <w:tabs>
          <w:tab w:val="right" w:leader="dot" w:pos="9062"/>
        </w:tabs>
        <w:rPr>
          <w:rFonts w:eastAsiaTheme="minorEastAsia"/>
          <w:noProof/>
          <w:lang w:eastAsia="en-GB"/>
        </w:rPr>
      </w:pPr>
      <w:hyperlink w:anchor="_Toc6418647" w:history="1">
        <w:r w:rsidR="00D93D3F" w:rsidRPr="00AF465D">
          <w:rPr>
            <w:rStyle w:val="Hyperlink"/>
            <w:i/>
            <w:noProof/>
            <w:lang w:val="hr-HR"/>
          </w:rPr>
          <w:t>Grafikon 4.1. Kretanje udjela javnog duga u BDP-u prema određenim scenarijima</w:t>
        </w:r>
        <w:r w:rsidR="00D93D3F">
          <w:rPr>
            <w:noProof/>
            <w:webHidden/>
          </w:rPr>
          <w:tab/>
        </w:r>
        <w:r w:rsidR="00D93D3F">
          <w:rPr>
            <w:noProof/>
            <w:webHidden/>
          </w:rPr>
          <w:fldChar w:fldCharType="begin"/>
        </w:r>
        <w:r w:rsidR="00D93D3F">
          <w:rPr>
            <w:noProof/>
            <w:webHidden/>
          </w:rPr>
          <w:instrText xml:space="preserve"> PAGEREF _Toc6418647 \h </w:instrText>
        </w:r>
        <w:r w:rsidR="00D93D3F">
          <w:rPr>
            <w:noProof/>
            <w:webHidden/>
          </w:rPr>
        </w:r>
        <w:r w:rsidR="00D93D3F">
          <w:rPr>
            <w:noProof/>
            <w:webHidden/>
          </w:rPr>
          <w:fldChar w:fldCharType="separate"/>
        </w:r>
        <w:r w:rsidR="00572AFD">
          <w:rPr>
            <w:noProof/>
            <w:webHidden/>
          </w:rPr>
          <w:t>35</w:t>
        </w:r>
        <w:r w:rsidR="00D93D3F">
          <w:rPr>
            <w:noProof/>
            <w:webHidden/>
          </w:rPr>
          <w:fldChar w:fldCharType="end"/>
        </w:r>
      </w:hyperlink>
    </w:p>
    <w:p w14:paraId="30B8A68B" w14:textId="77777777" w:rsidR="00D93D3F" w:rsidRDefault="005D1222">
      <w:pPr>
        <w:pStyle w:val="TableofFigures"/>
        <w:tabs>
          <w:tab w:val="right" w:leader="dot" w:pos="9062"/>
        </w:tabs>
        <w:rPr>
          <w:rFonts w:eastAsiaTheme="minorEastAsia"/>
          <w:noProof/>
          <w:lang w:eastAsia="en-GB"/>
        </w:rPr>
      </w:pPr>
      <w:hyperlink w:anchor="_Toc6418648" w:history="1">
        <w:r w:rsidR="00D93D3F" w:rsidRPr="00AF465D">
          <w:rPr>
            <w:rStyle w:val="Hyperlink"/>
            <w:i/>
            <w:noProof/>
            <w:lang w:val="hr-HR"/>
          </w:rPr>
          <w:t>Grafikon 5.1. Dobno – spolna piramida stanovništva EU</w:t>
        </w:r>
        <w:r w:rsidR="00D93D3F">
          <w:rPr>
            <w:noProof/>
            <w:webHidden/>
          </w:rPr>
          <w:tab/>
        </w:r>
        <w:r w:rsidR="00D93D3F">
          <w:rPr>
            <w:noProof/>
            <w:webHidden/>
          </w:rPr>
          <w:fldChar w:fldCharType="begin"/>
        </w:r>
        <w:r w:rsidR="00D93D3F">
          <w:rPr>
            <w:noProof/>
            <w:webHidden/>
          </w:rPr>
          <w:instrText xml:space="preserve"> PAGEREF _Toc6418648 \h </w:instrText>
        </w:r>
        <w:r w:rsidR="00D93D3F">
          <w:rPr>
            <w:noProof/>
            <w:webHidden/>
          </w:rPr>
        </w:r>
        <w:r w:rsidR="00D93D3F">
          <w:rPr>
            <w:noProof/>
            <w:webHidden/>
          </w:rPr>
          <w:fldChar w:fldCharType="separate"/>
        </w:r>
        <w:r w:rsidR="00572AFD">
          <w:rPr>
            <w:noProof/>
            <w:webHidden/>
          </w:rPr>
          <w:t>37</w:t>
        </w:r>
        <w:r w:rsidR="00D93D3F">
          <w:rPr>
            <w:noProof/>
            <w:webHidden/>
          </w:rPr>
          <w:fldChar w:fldCharType="end"/>
        </w:r>
      </w:hyperlink>
    </w:p>
    <w:p w14:paraId="36D9E7F5" w14:textId="77777777" w:rsidR="00D93D3F" w:rsidRDefault="005D1222">
      <w:pPr>
        <w:pStyle w:val="TableofFigures"/>
        <w:tabs>
          <w:tab w:val="right" w:leader="dot" w:pos="9062"/>
        </w:tabs>
        <w:rPr>
          <w:rFonts w:eastAsiaTheme="minorEastAsia"/>
          <w:noProof/>
          <w:lang w:eastAsia="en-GB"/>
        </w:rPr>
      </w:pPr>
      <w:hyperlink w:anchor="_Toc6418649" w:history="1">
        <w:r w:rsidR="00D93D3F" w:rsidRPr="00AF465D">
          <w:rPr>
            <w:rStyle w:val="Hyperlink"/>
            <w:i/>
            <w:noProof/>
            <w:lang w:val="hr-HR"/>
          </w:rPr>
          <w:t>Grafikon 5.2. Kretanje broja stanovnika po dobnim skupinama, RH i EU</w:t>
        </w:r>
        <w:r w:rsidR="00D93D3F">
          <w:rPr>
            <w:noProof/>
            <w:webHidden/>
          </w:rPr>
          <w:tab/>
        </w:r>
        <w:r w:rsidR="00D93D3F">
          <w:rPr>
            <w:noProof/>
            <w:webHidden/>
          </w:rPr>
          <w:fldChar w:fldCharType="begin"/>
        </w:r>
        <w:r w:rsidR="00D93D3F">
          <w:rPr>
            <w:noProof/>
            <w:webHidden/>
          </w:rPr>
          <w:instrText xml:space="preserve"> PAGEREF _Toc6418649 \h </w:instrText>
        </w:r>
        <w:r w:rsidR="00D93D3F">
          <w:rPr>
            <w:noProof/>
            <w:webHidden/>
          </w:rPr>
        </w:r>
        <w:r w:rsidR="00D93D3F">
          <w:rPr>
            <w:noProof/>
            <w:webHidden/>
          </w:rPr>
          <w:fldChar w:fldCharType="separate"/>
        </w:r>
        <w:r w:rsidR="00572AFD">
          <w:rPr>
            <w:noProof/>
            <w:webHidden/>
          </w:rPr>
          <w:t>38</w:t>
        </w:r>
        <w:r w:rsidR="00D93D3F">
          <w:rPr>
            <w:noProof/>
            <w:webHidden/>
          </w:rPr>
          <w:fldChar w:fldCharType="end"/>
        </w:r>
      </w:hyperlink>
    </w:p>
    <w:p w14:paraId="60A46417" w14:textId="77777777" w:rsidR="00D93D3F" w:rsidRDefault="005D1222">
      <w:pPr>
        <w:pStyle w:val="TableofFigures"/>
        <w:tabs>
          <w:tab w:val="right" w:leader="dot" w:pos="9062"/>
        </w:tabs>
        <w:rPr>
          <w:rFonts w:eastAsiaTheme="minorEastAsia"/>
          <w:noProof/>
          <w:lang w:eastAsia="en-GB"/>
        </w:rPr>
      </w:pPr>
      <w:hyperlink w:anchor="_Toc6418650" w:history="1">
        <w:r w:rsidR="00D93D3F" w:rsidRPr="00AF465D">
          <w:rPr>
            <w:rStyle w:val="Hyperlink"/>
            <w:i/>
            <w:noProof/>
            <w:lang w:val="hr-HR"/>
          </w:rPr>
          <w:t>Grafikon 5.3.</w:t>
        </w:r>
        <w:r w:rsidR="00D93D3F" w:rsidRPr="00AF465D">
          <w:rPr>
            <w:rStyle w:val="Hyperlink"/>
            <w:rFonts w:ascii="Calibri" w:hAnsi="Calibri"/>
            <w:noProof/>
            <w:lang w:val="hr-HR"/>
          </w:rPr>
          <w:t xml:space="preserve"> </w:t>
        </w:r>
        <w:r w:rsidR="00D93D3F" w:rsidRPr="00AF465D">
          <w:rPr>
            <w:rStyle w:val="Hyperlink"/>
            <w:rFonts w:ascii="Calibri" w:hAnsi="Calibri"/>
            <w:i/>
            <w:noProof/>
            <w:lang w:val="hr-HR"/>
          </w:rPr>
          <w:t>Očekivano trajanje života pri rođenju, žene</w:t>
        </w:r>
        <w:r w:rsidR="00D93D3F">
          <w:rPr>
            <w:noProof/>
            <w:webHidden/>
          </w:rPr>
          <w:tab/>
        </w:r>
        <w:r w:rsidR="00D93D3F">
          <w:rPr>
            <w:noProof/>
            <w:webHidden/>
          </w:rPr>
          <w:fldChar w:fldCharType="begin"/>
        </w:r>
        <w:r w:rsidR="00D93D3F">
          <w:rPr>
            <w:noProof/>
            <w:webHidden/>
          </w:rPr>
          <w:instrText xml:space="preserve"> PAGEREF _Toc6418650 \h </w:instrText>
        </w:r>
        <w:r w:rsidR="00D93D3F">
          <w:rPr>
            <w:noProof/>
            <w:webHidden/>
          </w:rPr>
        </w:r>
        <w:r w:rsidR="00D93D3F">
          <w:rPr>
            <w:noProof/>
            <w:webHidden/>
          </w:rPr>
          <w:fldChar w:fldCharType="separate"/>
        </w:r>
        <w:r w:rsidR="00572AFD">
          <w:rPr>
            <w:noProof/>
            <w:webHidden/>
          </w:rPr>
          <w:t>39</w:t>
        </w:r>
        <w:r w:rsidR="00D93D3F">
          <w:rPr>
            <w:noProof/>
            <w:webHidden/>
          </w:rPr>
          <w:fldChar w:fldCharType="end"/>
        </w:r>
      </w:hyperlink>
    </w:p>
    <w:p w14:paraId="1DA0A824" w14:textId="77777777" w:rsidR="00D93D3F" w:rsidRDefault="005D1222">
      <w:pPr>
        <w:pStyle w:val="TableofFigures"/>
        <w:tabs>
          <w:tab w:val="right" w:leader="dot" w:pos="9062"/>
        </w:tabs>
        <w:rPr>
          <w:rFonts w:eastAsiaTheme="minorEastAsia"/>
          <w:noProof/>
          <w:lang w:eastAsia="en-GB"/>
        </w:rPr>
      </w:pPr>
      <w:hyperlink w:anchor="_Toc6418651" w:history="1">
        <w:r w:rsidR="00D93D3F" w:rsidRPr="00AF465D">
          <w:rPr>
            <w:rStyle w:val="Hyperlink"/>
            <w:i/>
            <w:noProof/>
            <w:lang w:val="hr-HR"/>
          </w:rPr>
          <w:t>Grafikon 5.4.</w:t>
        </w:r>
        <w:r w:rsidR="00D93D3F" w:rsidRPr="00AF465D">
          <w:rPr>
            <w:rStyle w:val="Hyperlink"/>
            <w:rFonts w:ascii="Calibri" w:hAnsi="Calibri"/>
            <w:i/>
            <w:noProof/>
            <w:lang w:val="hr-HR"/>
          </w:rPr>
          <w:t xml:space="preserve"> Očekivano trajanje života pri rođenju, muškarci</w:t>
        </w:r>
        <w:r w:rsidR="00D93D3F">
          <w:rPr>
            <w:noProof/>
            <w:webHidden/>
          </w:rPr>
          <w:tab/>
        </w:r>
        <w:r w:rsidR="00D93D3F">
          <w:rPr>
            <w:noProof/>
            <w:webHidden/>
          </w:rPr>
          <w:fldChar w:fldCharType="begin"/>
        </w:r>
        <w:r w:rsidR="00D93D3F">
          <w:rPr>
            <w:noProof/>
            <w:webHidden/>
          </w:rPr>
          <w:instrText xml:space="preserve"> PAGEREF _Toc6418651 \h </w:instrText>
        </w:r>
        <w:r w:rsidR="00D93D3F">
          <w:rPr>
            <w:noProof/>
            <w:webHidden/>
          </w:rPr>
        </w:r>
        <w:r w:rsidR="00D93D3F">
          <w:rPr>
            <w:noProof/>
            <w:webHidden/>
          </w:rPr>
          <w:fldChar w:fldCharType="separate"/>
        </w:r>
        <w:r w:rsidR="00572AFD">
          <w:rPr>
            <w:noProof/>
            <w:webHidden/>
          </w:rPr>
          <w:t>39</w:t>
        </w:r>
        <w:r w:rsidR="00D93D3F">
          <w:rPr>
            <w:noProof/>
            <w:webHidden/>
          </w:rPr>
          <w:fldChar w:fldCharType="end"/>
        </w:r>
      </w:hyperlink>
    </w:p>
    <w:p w14:paraId="375F2221" w14:textId="77777777" w:rsidR="00D93D3F" w:rsidRDefault="005D1222">
      <w:pPr>
        <w:pStyle w:val="TableofFigures"/>
        <w:tabs>
          <w:tab w:val="right" w:leader="dot" w:pos="9062"/>
        </w:tabs>
        <w:rPr>
          <w:rFonts w:eastAsiaTheme="minorEastAsia"/>
          <w:noProof/>
          <w:lang w:eastAsia="en-GB"/>
        </w:rPr>
      </w:pPr>
      <w:hyperlink w:anchor="_Toc6418652" w:history="1">
        <w:r w:rsidR="00D93D3F" w:rsidRPr="00AF465D">
          <w:rPr>
            <w:rStyle w:val="Hyperlink"/>
            <w:i/>
            <w:noProof/>
            <w:lang w:val="hr-HR"/>
          </w:rPr>
          <w:t>Grafikon 5.5. Potrošnja za zdravstvo (% BDP-a)</w:t>
        </w:r>
        <w:r w:rsidR="00D93D3F">
          <w:rPr>
            <w:noProof/>
            <w:webHidden/>
          </w:rPr>
          <w:tab/>
        </w:r>
        <w:r w:rsidR="00D93D3F">
          <w:rPr>
            <w:noProof/>
            <w:webHidden/>
          </w:rPr>
          <w:fldChar w:fldCharType="begin"/>
        </w:r>
        <w:r w:rsidR="00D93D3F">
          <w:rPr>
            <w:noProof/>
            <w:webHidden/>
          </w:rPr>
          <w:instrText xml:space="preserve"> PAGEREF _Toc6418652 \h </w:instrText>
        </w:r>
        <w:r w:rsidR="00D93D3F">
          <w:rPr>
            <w:noProof/>
            <w:webHidden/>
          </w:rPr>
        </w:r>
        <w:r w:rsidR="00D93D3F">
          <w:rPr>
            <w:noProof/>
            <w:webHidden/>
          </w:rPr>
          <w:fldChar w:fldCharType="separate"/>
        </w:r>
        <w:r w:rsidR="00572AFD">
          <w:rPr>
            <w:noProof/>
            <w:webHidden/>
          </w:rPr>
          <w:t>40</w:t>
        </w:r>
        <w:r w:rsidR="00D93D3F">
          <w:rPr>
            <w:noProof/>
            <w:webHidden/>
          </w:rPr>
          <w:fldChar w:fldCharType="end"/>
        </w:r>
      </w:hyperlink>
    </w:p>
    <w:p w14:paraId="57AD168A" w14:textId="77777777" w:rsidR="00D93D3F" w:rsidRDefault="005D1222">
      <w:pPr>
        <w:pStyle w:val="TableofFigures"/>
        <w:tabs>
          <w:tab w:val="right" w:leader="dot" w:pos="9062"/>
        </w:tabs>
        <w:rPr>
          <w:rFonts w:eastAsiaTheme="minorEastAsia"/>
          <w:noProof/>
          <w:lang w:eastAsia="en-GB"/>
        </w:rPr>
      </w:pPr>
      <w:hyperlink w:anchor="_Toc6418653" w:history="1">
        <w:r w:rsidR="00D93D3F" w:rsidRPr="00AF465D">
          <w:rPr>
            <w:rStyle w:val="Hyperlink"/>
            <w:i/>
            <w:noProof/>
            <w:lang w:val="hr-HR"/>
          </w:rPr>
          <w:t>Grafikon 5.6. Potrošnja za dugotrajnu skrb (% BDP-a)</w:t>
        </w:r>
        <w:r w:rsidR="00D93D3F">
          <w:rPr>
            <w:noProof/>
            <w:webHidden/>
          </w:rPr>
          <w:tab/>
        </w:r>
        <w:r w:rsidR="00D93D3F">
          <w:rPr>
            <w:noProof/>
            <w:webHidden/>
          </w:rPr>
          <w:fldChar w:fldCharType="begin"/>
        </w:r>
        <w:r w:rsidR="00D93D3F">
          <w:rPr>
            <w:noProof/>
            <w:webHidden/>
          </w:rPr>
          <w:instrText xml:space="preserve"> PAGEREF _Toc6418653 \h </w:instrText>
        </w:r>
        <w:r w:rsidR="00D93D3F">
          <w:rPr>
            <w:noProof/>
            <w:webHidden/>
          </w:rPr>
        </w:r>
        <w:r w:rsidR="00D93D3F">
          <w:rPr>
            <w:noProof/>
            <w:webHidden/>
          </w:rPr>
          <w:fldChar w:fldCharType="separate"/>
        </w:r>
        <w:r w:rsidR="00572AFD">
          <w:rPr>
            <w:noProof/>
            <w:webHidden/>
          </w:rPr>
          <w:t>41</w:t>
        </w:r>
        <w:r w:rsidR="00D93D3F">
          <w:rPr>
            <w:noProof/>
            <w:webHidden/>
          </w:rPr>
          <w:fldChar w:fldCharType="end"/>
        </w:r>
      </w:hyperlink>
    </w:p>
    <w:p w14:paraId="445CFDC0" w14:textId="77777777" w:rsidR="00AB12FE" w:rsidRPr="004259D0" w:rsidRDefault="00A76B19" w:rsidP="00FF7990">
      <w:pPr>
        <w:spacing w:line="360" w:lineRule="auto"/>
        <w:rPr>
          <w:lang w:val="hr-HR" w:eastAsia="ja-JP"/>
        </w:rPr>
      </w:pPr>
      <w:r w:rsidRPr="004259D0">
        <w:rPr>
          <w:lang w:val="hr-HR" w:eastAsia="ja-JP"/>
        </w:rPr>
        <w:fldChar w:fldCharType="end"/>
      </w:r>
      <w:r w:rsidR="00AB12FE" w:rsidRPr="004259D0">
        <w:rPr>
          <w:lang w:val="hr-HR" w:eastAsia="ja-JP"/>
        </w:rPr>
        <w:br w:type="page"/>
      </w:r>
    </w:p>
    <w:p w14:paraId="3E7F7841" w14:textId="77777777" w:rsidR="00A12BA6" w:rsidRPr="004259D0" w:rsidRDefault="00E54C96" w:rsidP="00E54C96">
      <w:pPr>
        <w:pStyle w:val="Heading1"/>
        <w:ind w:left="1080"/>
        <w:rPr>
          <w:sz w:val="32"/>
          <w:lang w:val="hr-HR"/>
        </w:rPr>
      </w:pPr>
      <w:bookmarkStart w:id="5" w:name="_Toc6418606"/>
      <w:r w:rsidRPr="004259D0">
        <w:rPr>
          <w:sz w:val="32"/>
          <w:lang w:val="hr-HR"/>
        </w:rPr>
        <w:t>Popis priloga</w:t>
      </w:r>
      <w:bookmarkEnd w:id="5"/>
    </w:p>
    <w:p w14:paraId="3B3536B9" w14:textId="77777777" w:rsidR="00AB12FE" w:rsidRPr="004259D0" w:rsidRDefault="00AB12FE" w:rsidP="00AB12FE">
      <w:pPr>
        <w:rPr>
          <w:lang w:val="hr-HR"/>
        </w:rPr>
      </w:pPr>
    </w:p>
    <w:p w14:paraId="508A2E41" w14:textId="77777777" w:rsidR="00D93D3F" w:rsidRDefault="00E54C96">
      <w:pPr>
        <w:pStyle w:val="TableofFigures"/>
        <w:tabs>
          <w:tab w:val="right" w:leader="dot" w:pos="9062"/>
        </w:tabs>
        <w:rPr>
          <w:rFonts w:eastAsiaTheme="minorEastAsia"/>
          <w:noProof/>
          <w:lang w:eastAsia="en-GB"/>
        </w:rPr>
      </w:pPr>
      <w:r w:rsidRPr="004259D0">
        <w:rPr>
          <w:lang w:val="hr-HR"/>
        </w:rPr>
        <w:fldChar w:fldCharType="begin"/>
      </w:r>
      <w:r w:rsidRPr="004259D0">
        <w:rPr>
          <w:lang w:val="hr-HR"/>
        </w:rPr>
        <w:instrText xml:space="preserve"> TOC \h \z \c "Prilog" </w:instrText>
      </w:r>
      <w:r w:rsidRPr="004259D0">
        <w:rPr>
          <w:lang w:val="hr-HR"/>
        </w:rPr>
        <w:fldChar w:fldCharType="separate"/>
      </w:r>
      <w:hyperlink w:anchor="_Toc6418654" w:history="1">
        <w:r w:rsidR="00D93D3F" w:rsidRPr="00081B3C">
          <w:rPr>
            <w:rStyle w:val="Hyperlink"/>
            <w:i/>
            <w:noProof/>
            <w:lang w:val="hr-HR"/>
          </w:rPr>
          <w:t>Prilog 1a. Makroekonomski izgledi</w:t>
        </w:r>
        <w:r w:rsidR="00D93D3F">
          <w:rPr>
            <w:noProof/>
            <w:webHidden/>
          </w:rPr>
          <w:tab/>
        </w:r>
        <w:r w:rsidR="00D93D3F">
          <w:rPr>
            <w:noProof/>
            <w:webHidden/>
          </w:rPr>
          <w:fldChar w:fldCharType="begin"/>
        </w:r>
        <w:r w:rsidR="00D93D3F">
          <w:rPr>
            <w:noProof/>
            <w:webHidden/>
          </w:rPr>
          <w:instrText xml:space="preserve"> PAGEREF _Toc6418654 \h </w:instrText>
        </w:r>
        <w:r w:rsidR="00D93D3F">
          <w:rPr>
            <w:noProof/>
            <w:webHidden/>
          </w:rPr>
        </w:r>
        <w:r w:rsidR="00D93D3F">
          <w:rPr>
            <w:noProof/>
            <w:webHidden/>
          </w:rPr>
          <w:fldChar w:fldCharType="separate"/>
        </w:r>
        <w:r w:rsidR="00572AFD">
          <w:rPr>
            <w:noProof/>
            <w:webHidden/>
          </w:rPr>
          <w:t>56</w:t>
        </w:r>
        <w:r w:rsidR="00D93D3F">
          <w:rPr>
            <w:noProof/>
            <w:webHidden/>
          </w:rPr>
          <w:fldChar w:fldCharType="end"/>
        </w:r>
      </w:hyperlink>
    </w:p>
    <w:p w14:paraId="601D53E5" w14:textId="77777777" w:rsidR="00D93D3F" w:rsidRDefault="005D1222">
      <w:pPr>
        <w:pStyle w:val="TableofFigures"/>
        <w:tabs>
          <w:tab w:val="right" w:leader="dot" w:pos="9062"/>
        </w:tabs>
        <w:rPr>
          <w:rFonts w:eastAsiaTheme="minorEastAsia"/>
          <w:noProof/>
          <w:lang w:eastAsia="en-GB"/>
        </w:rPr>
      </w:pPr>
      <w:hyperlink w:anchor="_Toc6418655" w:history="1">
        <w:r w:rsidR="00D93D3F" w:rsidRPr="00081B3C">
          <w:rPr>
            <w:rStyle w:val="Hyperlink"/>
            <w:i/>
            <w:noProof/>
            <w:lang w:val="hr-HR"/>
          </w:rPr>
          <w:t>Prilog 1b. Kretanje cijena</w:t>
        </w:r>
        <w:r w:rsidR="00D93D3F">
          <w:rPr>
            <w:noProof/>
            <w:webHidden/>
          </w:rPr>
          <w:tab/>
        </w:r>
        <w:r w:rsidR="00D93D3F">
          <w:rPr>
            <w:noProof/>
            <w:webHidden/>
          </w:rPr>
          <w:fldChar w:fldCharType="begin"/>
        </w:r>
        <w:r w:rsidR="00D93D3F">
          <w:rPr>
            <w:noProof/>
            <w:webHidden/>
          </w:rPr>
          <w:instrText xml:space="preserve"> PAGEREF _Toc6418655 \h </w:instrText>
        </w:r>
        <w:r w:rsidR="00D93D3F">
          <w:rPr>
            <w:noProof/>
            <w:webHidden/>
          </w:rPr>
        </w:r>
        <w:r w:rsidR="00D93D3F">
          <w:rPr>
            <w:noProof/>
            <w:webHidden/>
          </w:rPr>
          <w:fldChar w:fldCharType="separate"/>
        </w:r>
        <w:r w:rsidR="00572AFD">
          <w:rPr>
            <w:noProof/>
            <w:webHidden/>
          </w:rPr>
          <w:t>56</w:t>
        </w:r>
        <w:r w:rsidR="00D93D3F">
          <w:rPr>
            <w:noProof/>
            <w:webHidden/>
          </w:rPr>
          <w:fldChar w:fldCharType="end"/>
        </w:r>
      </w:hyperlink>
    </w:p>
    <w:p w14:paraId="602861B0" w14:textId="77777777" w:rsidR="00D93D3F" w:rsidRDefault="005D1222">
      <w:pPr>
        <w:pStyle w:val="TableofFigures"/>
        <w:tabs>
          <w:tab w:val="right" w:leader="dot" w:pos="9062"/>
        </w:tabs>
        <w:rPr>
          <w:rFonts w:eastAsiaTheme="minorEastAsia"/>
          <w:noProof/>
          <w:lang w:eastAsia="en-GB"/>
        </w:rPr>
      </w:pPr>
      <w:hyperlink w:anchor="_Toc6418656" w:history="1">
        <w:r w:rsidR="00D93D3F" w:rsidRPr="00081B3C">
          <w:rPr>
            <w:rStyle w:val="Hyperlink"/>
            <w:i/>
            <w:noProof/>
            <w:lang w:val="hr-HR"/>
          </w:rPr>
          <w:t>Prilog 1c. Kretanja na tržištu rada</w:t>
        </w:r>
        <w:r w:rsidR="00D93D3F">
          <w:rPr>
            <w:noProof/>
            <w:webHidden/>
          </w:rPr>
          <w:tab/>
        </w:r>
        <w:r w:rsidR="00D93D3F">
          <w:rPr>
            <w:noProof/>
            <w:webHidden/>
          </w:rPr>
          <w:fldChar w:fldCharType="begin"/>
        </w:r>
        <w:r w:rsidR="00D93D3F">
          <w:rPr>
            <w:noProof/>
            <w:webHidden/>
          </w:rPr>
          <w:instrText xml:space="preserve"> PAGEREF _Toc6418656 \h </w:instrText>
        </w:r>
        <w:r w:rsidR="00D93D3F">
          <w:rPr>
            <w:noProof/>
            <w:webHidden/>
          </w:rPr>
        </w:r>
        <w:r w:rsidR="00D93D3F">
          <w:rPr>
            <w:noProof/>
            <w:webHidden/>
          </w:rPr>
          <w:fldChar w:fldCharType="separate"/>
        </w:r>
        <w:r w:rsidR="00572AFD">
          <w:rPr>
            <w:noProof/>
            <w:webHidden/>
          </w:rPr>
          <w:t>57</w:t>
        </w:r>
        <w:r w:rsidR="00D93D3F">
          <w:rPr>
            <w:noProof/>
            <w:webHidden/>
          </w:rPr>
          <w:fldChar w:fldCharType="end"/>
        </w:r>
      </w:hyperlink>
    </w:p>
    <w:p w14:paraId="0838938D" w14:textId="77777777" w:rsidR="00D93D3F" w:rsidRDefault="005D1222">
      <w:pPr>
        <w:pStyle w:val="TableofFigures"/>
        <w:tabs>
          <w:tab w:val="right" w:leader="dot" w:pos="9062"/>
        </w:tabs>
        <w:rPr>
          <w:rFonts w:eastAsiaTheme="minorEastAsia"/>
          <w:noProof/>
          <w:lang w:eastAsia="en-GB"/>
        </w:rPr>
      </w:pPr>
      <w:hyperlink w:anchor="_Toc6418657" w:history="1">
        <w:r w:rsidR="00D93D3F" w:rsidRPr="00081B3C">
          <w:rPr>
            <w:rStyle w:val="Hyperlink"/>
            <w:i/>
            <w:noProof/>
            <w:lang w:val="hr-HR"/>
          </w:rPr>
          <w:t>Prilog 1d. Saldo pojedinih sektora</w:t>
        </w:r>
        <w:r w:rsidR="00D93D3F">
          <w:rPr>
            <w:noProof/>
            <w:webHidden/>
          </w:rPr>
          <w:tab/>
        </w:r>
        <w:r w:rsidR="00D93D3F">
          <w:rPr>
            <w:noProof/>
            <w:webHidden/>
          </w:rPr>
          <w:fldChar w:fldCharType="begin"/>
        </w:r>
        <w:r w:rsidR="00D93D3F">
          <w:rPr>
            <w:noProof/>
            <w:webHidden/>
          </w:rPr>
          <w:instrText xml:space="preserve"> PAGEREF _Toc6418657 \h </w:instrText>
        </w:r>
        <w:r w:rsidR="00D93D3F">
          <w:rPr>
            <w:noProof/>
            <w:webHidden/>
          </w:rPr>
        </w:r>
        <w:r w:rsidR="00D93D3F">
          <w:rPr>
            <w:noProof/>
            <w:webHidden/>
          </w:rPr>
          <w:fldChar w:fldCharType="separate"/>
        </w:r>
        <w:r w:rsidR="00572AFD">
          <w:rPr>
            <w:noProof/>
            <w:webHidden/>
          </w:rPr>
          <w:t>57</w:t>
        </w:r>
        <w:r w:rsidR="00D93D3F">
          <w:rPr>
            <w:noProof/>
            <w:webHidden/>
          </w:rPr>
          <w:fldChar w:fldCharType="end"/>
        </w:r>
      </w:hyperlink>
    </w:p>
    <w:p w14:paraId="7D81504D" w14:textId="77777777" w:rsidR="00D93D3F" w:rsidRDefault="005D1222">
      <w:pPr>
        <w:pStyle w:val="TableofFigures"/>
        <w:tabs>
          <w:tab w:val="right" w:leader="dot" w:pos="9062"/>
        </w:tabs>
        <w:rPr>
          <w:rFonts w:eastAsiaTheme="minorEastAsia"/>
          <w:noProof/>
          <w:lang w:eastAsia="en-GB"/>
        </w:rPr>
      </w:pPr>
      <w:hyperlink w:anchor="_Toc6418658" w:history="1">
        <w:r w:rsidR="00D93D3F" w:rsidRPr="00081B3C">
          <w:rPr>
            <w:rStyle w:val="Hyperlink"/>
            <w:i/>
            <w:noProof/>
            <w:lang w:val="hr-HR"/>
          </w:rPr>
          <w:t>Prilog 2a. Proračun opće države</w:t>
        </w:r>
        <w:r w:rsidR="00D93D3F">
          <w:rPr>
            <w:noProof/>
            <w:webHidden/>
          </w:rPr>
          <w:tab/>
        </w:r>
        <w:r w:rsidR="00D93D3F">
          <w:rPr>
            <w:noProof/>
            <w:webHidden/>
          </w:rPr>
          <w:fldChar w:fldCharType="begin"/>
        </w:r>
        <w:r w:rsidR="00D93D3F">
          <w:rPr>
            <w:noProof/>
            <w:webHidden/>
          </w:rPr>
          <w:instrText xml:space="preserve"> PAGEREF _Toc6418658 \h </w:instrText>
        </w:r>
        <w:r w:rsidR="00D93D3F">
          <w:rPr>
            <w:noProof/>
            <w:webHidden/>
          </w:rPr>
        </w:r>
        <w:r w:rsidR="00D93D3F">
          <w:rPr>
            <w:noProof/>
            <w:webHidden/>
          </w:rPr>
          <w:fldChar w:fldCharType="separate"/>
        </w:r>
        <w:r w:rsidR="00572AFD">
          <w:rPr>
            <w:noProof/>
            <w:webHidden/>
          </w:rPr>
          <w:t>58</w:t>
        </w:r>
        <w:r w:rsidR="00D93D3F">
          <w:rPr>
            <w:noProof/>
            <w:webHidden/>
          </w:rPr>
          <w:fldChar w:fldCharType="end"/>
        </w:r>
      </w:hyperlink>
    </w:p>
    <w:p w14:paraId="64F29022" w14:textId="77777777" w:rsidR="00D93D3F" w:rsidRDefault="005D1222">
      <w:pPr>
        <w:pStyle w:val="TableofFigures"/>
        <w:tabs>
          <w:tab w:val="right" w:leader="dot" w:pos="9062"/>
        </w:tabs>
        <w:rPr>
          <w:rFonts w:eastAsiaTheme="minorEastAsia"/>
          <w:noProof/>
          <w:lang w:eastAsia="en-GB"/>
        </w:rPr>
      </w:pPr>
      <w:hyperlink w:anchor="_Toc6418659" w:history="1">
        <w:r w:rsidR="00D93D3F" w:rsidRPr="00081B3C">
          <w:rPr>
            <w:rStyle w:val="Hyperlink"/>
            <w:i/>
            <w:noProof/>
            <w:lang w:val="hr-HR"/>
          </w:rPr>
          <w:t>Prilog 2b. Projekcije bez promjena politike</w:t>
        </w:r>
        <w:r w:rsidR="00D93D3F">
          <w:rPr>
            <w:noProof/>
            <w:webHidden/>
          </w:rPr>
          <w:tab/>
        </w:r>
        <w:r w:rsidR="00D93D3F">
          <w:rPr>
            <w:noProof/>
            <w:webHidden/>
          </w:rPr>
          <w:fldChar w:fldCharType="begin"/>
        </w:r>
        <w:r w:rsidR="00D93D3F">
          <w:rPr>
            <w:noProof/>
            <w:webHidden/>
          </w:rPr>
          <w:instrText xml:space="preserve"> PAGEREF _Toc6418659 \h </w:instrText>
        </w:r>
        <w:r w:rsidR="00D93D3F">
          <w:rPr>
            <w:noProof/>
            <w:webHidden/>
          </w:rPr>
        </w:r>
        <w:r w:rsidR="00D93D3F">
          <w:rPr>
            <w:noProof/>
            <w:webHidden/>
          </w:rPr>
          <w:fldChar w:fldCharType="separate"/>
        </w:r>
        <w:r w:rsidR="00572AFD">
          <w:rPr>
            <w:noProof/>
            <w:webHidden/>
          </w:rPr>
          <w:t>58</w:t>
        </w:r>
        <w:r w:rsidR="00D93D3F">
          <w:rPr>
            <w:noProof/>
            <w:webHidden/>
          </w:rPr>
          <w:fldChar w:fldCharType="end"/>
        </w:r>
      </w:hyperlink>
    </w:p>
    <w:p w14:paraId="4890536D" w14:textId="77777777" w:rsidR="00D93D3F" w:rsidRDefault="005D1222">
      <w:pPr>
        <w:pStyle w:val="TableofFigures"/>
        <w:tabs>
          <w:tab w:val="right" w:leader="dot" w:pos="9062"/>
        </w:tabs>
        <w:rPr>
          <w:rFonts w:eastAsiaTheme="minorEastAsia"/>
          <w:noProof/>
          <w:lang w:eastAsia="en-GB"/>
        </w:rPr>
      </w:pPr>
      <w:hyperlink w:anchor="_Toc6418660" w:history="1">
        <w:r w:rsidR="00D93D3F" w:rsidRPr="00081B3C">
          <w:rPr>
            <w:rStyle w:val="Hyperlink"/>
            <w:i/>
            <w:noProof/>
            <w:lang w:val="hr-HR"/>
          </w:rPr>
          <w:t>Prilog 2c. Iznosi koji trebaju biti izuzeti iz ciljane vrijednosti rashoda</w:t>
        </w:r>
        <w:r w:rsidR="00D93D3F">
          <w:rPr>
            <w:noProof/>
            <w:webHidden/>
          </w:rPr>
          <w:tab/>
        </w:r>
        <w:r w:rsidR="00D93D3F">
          <w:rPr>
            <w:noProof/>
            <w:webHidden/>
          </w:rPr>
          <w:fldChar w:fldCharType="begin"/>
        </w:r>
        <w:r w:rsidR="00D93D3F">
          <w:rPr>
            <w:noProof/>
            <w:webHidden/>
          </w:rPr>
          <w:instrText xml:space="preserve"> PAGEREF _Toc6418660 \h </w:instrText>
        </w:r>
        <w:r w:rsidR="00D93D3F">
          <w:rPr>
            <w:noProof/>
            <w:webHidden/>
          </w:rPr>
        </w:r>
        <w:r w:rsidR="00D93D3F">
          <w:rPr>
            <w:noProof/>
            <w:webHidden/>
          </w:rPr>
          <w:fldChar w:fldCharType="separate"/>
        </w:r>
        <w:r w:rsidR="00572AFD">
          <w:rPr>
            <w:noProof/>
            <w:webHidden/>
          </w:rPr>
          <w:t>59</w:t>
        </w:r>
        <w:r w:rsidR="00D93D3F">
          <w:rPr>
            <w:noProof/>
            <w:webHidden/>
          </w:rPr>
          <w:fldChar w:fldCharType="end"/>
        </w:r>
      </w:hyperlink>
    </w:p>
    <w:p w14:paraId="63DD45BA" w14:textId="77777777" w:rsidR="00D93D3F" w:rsidRDefault="005D1222">
      <w:pPr>
        <w:pStyle w:val="TableofFigures"/>
        <w:tabs>
          <w:tab w:val="right" w:leader="dot" w:pos="9062"/>
        </w:tabs>
        <w:rPr>
          <w:rFonts w:eastAsiaTheme="minorEastAsia"/>
          <w:noProof/>
          <w:lang w:eastAsia="en-GB"/>
        </w:rPr>
      </w:pPr>
      <w:hyperlink w:anchor="_Toc6418661" w:history="1">
        <w:r w:rsidR="00D93D3F" w:rsidRPr="00081B3C">
          <w:rPr>
            <w:rStyle w:val="Hyperlink"/>
            <w:i/>
            <w:noProof/>
            <w:lang w:val="hr-HR"/>
          </w:rPr>
          <w:t>Prilog 4. Dug opće države</w:t>
        </w:r>
        <w:r w:rsidR="00D93D3F">
          <w:rPr>
            <w:noProof/>
            <w:webHidden/>
          </w:rPr>
          <w:tab/>
        </w:r>
        <w:r w:rsidR="00D93D3F">
          <w:rPr>
            <w:noProof/>
            <w:webHidden/>
          </w:rPr>
          <w:fldChar w:fldCharType="begin"/>
        </w:r>
        <w:r w:rsidR="00D93D3F">
          <w:rPr>
            <w:noProof/>
            <w:webHidden/>
          </w:rPr>
          <w:instrText xml:space="preserve"> PAGEREF _Toc6418661 \h </w:instrText>
        </w:r>
        <w:r w:rsidR="00D93D3F">
          <w:rPr>
            <w:noProof/>
            <w:webHidden/>
          </w:rPr>
        </w:r>
        <w:r w:rsidR="00D93D3F">
          <w:rPr>
            <w:noProof/>
            <w:webHidden/>
          </w:rPr>
          <w:fldChar w:fldCharType="separate"/>
        </w:r>
        <w:r w:rsidR="00572AFD">
          <w:rPr>
            <w:noProof/>
            <w:webHidden/>
          </w:rPr>
          <w:t>59</w:t>
        </w:r>
        <w:r w:rsidR="00D93D3F">
          <w:rPr>
            <w:noProof/>
            <w:webHidden/>
          </w:rPr>
          <w:fldChar w:fldCharType="end"/>
        </w:r>
      </w:hyperlink>
    </w:p>
    <w:p w14:paraId="3AC8D533" w14:textId="77777777" w:rsidR="00D93D3F" w:rsidRDefault="005D1222">
      <w:pPr>
        <w:pStyle w:val="TableofFigures"/>
        <w:tabs>
          <w:tab w:val="right" w:leader="dot" w:pos="9062"/>
        </w:tabs>
        <w:rPr>
          <w:rFonts w:eastAsiaTheme="minorEastAsia"/>
          <w:noProof/>
          <w:lang w:eastAsia="en-GB"/>
        </w:rPr>
      </w:pPr>
      <w:hyperlink w:anchor="_Toc6418662" w:history="1">
        <w:r w:rsidR="00D93D3F" w:rsidRPr="00081B3C">
          <w:rPr>
            <w:rStyle w:val="Hyperlink"/>
            <w:i/>
            <w:noProof/>
            <w:lang w:val="hr-HR"/>
          </w:rPr>
          <w:t>Prilog 5. Ciklička kretanja</w:t>
        </w:r>
        <w:r w:rsidR="00D93D3F">
          <w:rPr>
            <w:noProof/>
            <w:webHidden/>
          </w:rPr>
          <w:tab/>
        </w:r>
        <w:r w:rsidR="00D93D3F">
          <w:rPr>
            <w:noProof/>
            <w:webHidden/>
          </w:rPr>
          <w:fldChar w:fldCharType="begin"/>
        </w:r>
        <w:r w:rsidR="00D93D3F">
          <w:rPr>
            <w:noProof/>
            <w:webHidden/>
          </w:rPr>
          <w:instrText xml:space="preserve"> PAGEREF _Toc6418662 \h </w:instrText>
        </w:r>
        <w:r w:rsidR="00D93D3F">
          <w:rPr>
            <w:noProof/>
            <w:webHidden/>
          </w:rPr>
        </w:r>
        <w:r w:rsidR="00D93D3F">
          <w:rPr>
            <w:noProof/>
            <w:webHidden/>
          </w:rPr>
          <w:fldChar w:fldCharType="separate"/>
        </w:r>
        <w:r w:rsidR="00572AFD">
          <w:rPr>
            <w:noProof/>
            <w:webHidden/>
          </w:rPr>
          <w:t>60</w:t>
        </w:r>
        <w:r w:rsidR="00D93D3F">
          <w:rPr>
            <w:noProof/>
            <w:webHidden/>
          </w:rPr>
          <w:fldChar w:fldCharType="end"/>
        </w:r>
      </w:hyperlink>
    </w:p>
    <w:p w14:paraId="45A7DD32" w14:textId="77777777" w:rsidR="00D93D3F" w:rsidRDefault="005D1222">
      <w:pPr>
        <w:pStyle w:val="TableofFigures"/>
        <w:tabs>
          <w:tab w:val="right" w:leader="dot" w:pos="9062"/>
        </w:tabs>
        <w:rPr>
          <w:rFonts w:eastAsiaTheme="minorEastAsia"/>
          <w:noProof/>
          <w:lang w:eastAsia="en-GB"/>
        </w:rPr>
      </w:pPr>
      <w:hyperlink w:anchor="_Toc6418663" w:history="1">
        <w:r w:rsidR="00D93D3F" w:rsidRPr="00081B3C">
          <w:rPr>
            <w:rStyle w:val="Hyperlink"/>
            <w:i/>
            <w:noProof/>
            <w:lang w:val="hr-HR"/>
          </w:rPr>
          <w:t>Prilog 6. Odstupanje od prethodnog programa</w:t>
        </w:r>
        <w:r w:rsidR="00D93D3F">
          <w:rPr>
            <w:noProof/>
            <w:webHidden/>
          </w:rPr>
          <w:tab/>
        </w:r>
        <w:r w:rsidR="00D93D3F">
          <w:rPr>
            <w:noProof/>
            <w:webHidden/>
          </w:rPr>
          <w:fldChar w:fldCharType="begin"/>
        </w:r>
        <w:r w:rsidR="00D93D3F">
          <w:rPr>
            <w:noProof/>
            <w:webHidden/>
          </w:rPr>
          <w:instrText xml:space="preserve"> PAGEREF _Toc6418663 \h </w:instrText>
        </w:r>
        <w:r w:rsidR="00D93D3F">
          <w:rPr>
            <w:noProof/>
            <w:webHidden/>
          </w:rPr>
        </w:r>
        <w:r w:rsidR="00D93D3F">
          <w:rPr>
            <w:noProof/>
            <w:webHidden/>
          </w:rPr>
          <w:fldChar w:fldCharType="separate"/>
        </w:r>
        <w:r w:rsidR="00572AFD">
          <w:rPr>
            <w:noProof/>
            <w:webHidden/>
          </w:rPr>
          <w:t>60</w:t>
        </w:r>
        <w:r w:rsidR="00D93D3F">
          <w:rPr>
            <w:noProof/>
            <w:webHidden/>
          </w:rPr>
          <w:fldChar w:fldCharType="end"/>
        </w:r>
      </w:hyperlink>
    </w:p>
    <w:p w14:paraId="53DD8E92" w14:textId="77777777" w:rsidR="00D93D3F" w:rsidRDefault="005D1222">
      <w:pPr>
        <w:pStyle w:val="TableofFigures"/>
        <w:tabs>
          <w:tab w:val="right" w:leader="dot" w:pos="9062"/>
        </w:tabs>
        <w:rPr>
          <w:rFonts w:eastAsiaTheme="minorEastAsia"/>
          <w:noProof/>
          <w:lang w:eastAsia="en-GB"/>
        </w:rPr>
      </w:pPr>
      <w:hyperlink w:anchor="_Toc6418664" w:history="1">
        <w:r w:rsidR="00D93D3F" w:rsidRPr="00081B3C">
          <w:rPr>
            <w:rStyle w:val="Hyperlink"/>
            <w:i/>
            <w:noProof/>
            <w:lang w:val="hr-HR"/>
          </w:rPr>
          <w:t>Prilog 7. Dugoročna održivost javnih financija</w:t>
        </w:r>
        <w:r w:rsidR="00D93D3F">
          <w:rPr>
            <w:noProof/>
            <w:webHidden/>
          </w:rPr>
          <w:tab/>
        </w:r>
        <w:r w:rsidR="00D93D3F">
          <w:rPr>
            <w:noProof/>
            <w:webHidden/>
          </w:rPr>
          <w:fldChar w:fldCharType="begin"/>
        </w:r>
        <w:r w:rsidR="00D93D3F">
          <w:rPr>
            <w:noProof/>
            <w:webHidden/>
          </w:rPr>
          <w:instrText xml:space="preserve"> PAGEREF _Toc6418664 \h </w:instrText>
        </w:r>
        <w:r w:rsidR="00D93D3F">
          <w:rPr>
            <w:noProof/>
            <w:webHidden/>
          </w:rPr>
        </w:r>
        <w:r w:rsidR="00D93D3F">
          <w:rPr>
            <w:noProof/>
            <w:webHidden/>
          </w:rPr>
          <w:fldChar w:fldCharType="separate"/>
        </w:r>
        <w:r w:rsidR="00572AFD">
          <w:rPr>
            <w:noProof/>
            <w:webHidden/>
          </w:rPr>
          <w:t>61</w:t>
        </w:r>
        <w:r w:rsidR="00D93D3F">
          <w:rPr>
            <w:noProof/>
            <w:webHidden/>
          </w:rPr>
          <w:fldChar w:fldCharType="end"/>
        </w:r>
      </w:hyperlink>
    </w:p>
    <w:p w14:paraId="75B354D9" w14:textId="77777777" w:rsidR="00D93D3F" w:rsidRDefault="005D1222">
      <w:pPr>
        <w:pStyle w:val="TableofFigures"/>
        <w:tabs>
          <w:tab w:val="right" w:leader="dot" w:pos="9062"/>
        </w:tabs>
        <w:rPr>
          <w:rFonts w:eastAsiaTheme="minorEastAsia"/>
          <w:noProof/>
          <w:lang w:eastAsia="en-GB"/>
        </w:rPr>
      </w:pPr>
      <w:hyperlink w:anchor="_Toc6418665" w:history="1">
        <w:r w:rsidR="00D93D3F" w:rsidRPr="00081B3C">
          <w:rPr>
            <w:rStyle w:val="Hyperlink"/>
            <w:i/>
            <w:noProof/>
            <w:lang w:val="hr-HR"/>
          </w:rPr>
          <w:t>Prilog 7a. Potencijalne obveze</w:t>
        </w:r>
        <w:r w:rsidR="00D93D3F">
          <w:rPr>
            <w:noProof/>
            <w:webHidden/>
          </w:rPr>
          <w:tab/>
        </w:r>
        <w:r w:rsidR="00D93D3F">
          <w:rPr>
            <w:noProof/>
            <w:webHidden/>
          </w:rPr>
          <w:fldChar w:fldCharType="begin"/>
        </w:r>
        <w:r w:rsidR="00D93D3F">
          <w:rPr>
            <w:noProof/>
            <w:webHidden/>
          </w:rPr>
          <w:instrText xml:space="preserve"> PAGEREF _Toc6418665 \h </w:instrText>
        </w:r>
        <w:r w:rsidR="00D93D3F">
          <w:rPr>
            <w:noProof/>
            <w:webHidden/>
          </w:rPr>
        </w:r>
        <w:r w:rsidR="00D93D3F">
          <w:rPr>
            <w:noProof/>
            <w:webHidden/>
          </w:rPr>
          <w:fldChar w:fldCharType="separate"/>
        </w:r>
        <w:r w:rsidR="00572AFD">
          <w:rPr>
            <w:noProof/>
            <w:webHidden/>
          </w:rPr>
          <w:t>61</w:t>
        </w:r>
        <w:r w:rsidR="00D93D3F">
          <w:rPr>
            <w:noProof/>
            <w:webHidden/>
          </w:rPr>
          <w:fldChar w:fldCharType="end"/>
        </w:r>
      </w:hyperlink>
    </w:p>
    <w:p w14:paraId="7BCAF28D" w14:textId="77777777" w:rsidR="00D93D3F" w:rsidRDefault="005D1222">
      <w:pPr>
        <w:pStyle w:val="TableofFigures"/>
        <w:tabs>
          <w:tab w:val="right" w:leader="dot" w:pos="9062"/>
        </w:tabs>
        <w:rPr>
          <w:rFonts w:eastAsiaTheme="minorEastAsia"/>
          <w:noProof/>
          <w:lang w:eastAsia="en-GB"/>
        </w:rPr>
      </w:pPr>
      <w:hyperlink w:anchor="_Toc6418666" w:history="1">
        <w:r w:rsidR="00D93D3F" w:rsidRPr="00081B3C">
          <w:rPr>
            <w:rStyle w:val="Hyperlink"/>
            <w:i/>
            <w:noProof/>
            <w:lang w:val="hr-HR"/>
          </w:rPr>
          <w:t>Prilog 8. Osnovne pretpostavke</w:t>
        </w:r>
        <w:r w:rsidR="00D93D3F">
          <w:rPr>
            <w:noProof/>
            <w:webHidden/>
          </w:rPr>
          <w:tab/>
        </w:r>
        <w:r w:rsidR="00D93D3F">
          <w:rPr>
            <w:noProof/>
            <w:webHidden/>
          </w:rPr>
          <w:fldChar w:fldCharType="begin"/>
        </w:r>
        <w:r w:rsidR="00D93D3F">
          <w:rPr>
            <w:noProof/>
            <w:webHidden/>
          </w:rPr>
          <w:instrText xml:space="preserve"> PAGEREF _Toc6418666 \h </w:instrText>
        </w:r>
        <w:r w:rsidR="00D93D3F">
          <w:rPr>
            <w:noProof/>
            <w:webHidden/>
          </w:rPr>
        </w:r>
        <w:r w:rsidR="00D93D3F">
          <w:rPr>
            <w:noProof/>
            <w:webHidden/>
          </w:rPr>
          <w:fldChar w:fldCharType="separate"/>
        </w:r>
        <w:r w:rsidR="00572AFD">
          <w:rPr>
            <w:noProof/>
            <w:webHidden/>
          </w:rPr>
          <w:t>61</w:t>
        </w:r>
        <w:r w:rsidR="00D93D3F">
          <w:rPr>
            <w:noProof/>
            <w:webHidden/>
          </w:rPr>
          <w:fldChar w:fldCharType="end"/>
        </w:r>
      </w:hyperlink>
    </w:p>
    <w:p w14:paraId="33C816D1" w14:textId="77777777" w:rsidR="00D93D3F" w:rsidRDefault="005D1222">
      <w:pPr>
        <w:pStyle w:val="TableofFigures"/>
        <w:tabs>
          <w:tab w:val="right" w:leader="dot" w:pos="9062"/>
        </w:tabs>
        <w:rPr>
          <w:rFonts w:eastAsiaTheme="minorEastAsia"/>
          <w:noProof/>
          <w:lang w:eastAsia="en-GB"/>
        </w:rPr>
      </w:pPr>
      <w:hyperlink w:anchor="_Toc6418667" w:history="1">
        <w:r w:rsidR="00D93D3F" w:rsidRPr="00081B3C">
          <w:rPr>
            <w:rStyle w:val="Hyperlink"/>
            <w:i/>
            <w:noProof/>
            <w:lang w:val="hr-HR"/>
          </w:rPr>
          <w:t>Prilog 9. IZVJEŠTAJ O PRIMJENI FISKALNIH PRAVILA</w:t>
        </w:r>
        <w:r w:rsidR="00D93D3F">
          <w:rPr>
            <w:noProof/>
            <w:webHidden/>
          </w:rPr>
          <w:tab/>
        </w:r>
        <w:r w:rsidR="00D93D3F">
          <w:rPr>
            <w:noProof/>
            <w:webHidden/>
          </w:rPr>
          <w:fldChar w:fldCharType="begin"/>
        </w:r>
        <w:r w:rsidR="00D93D3F">
          <w:rPr>
            <w:noProof/>
            <w:webHidden/>
          </w:rPr>
          <w:instrText xml:space="preserve"> PAGEREF _Toc6418667 \h </w:instrText>
        </w:r>
        <w:r w:rsidR="00D93D3F">
          <w:rPr>
            <w:noProof/>
            <w:webHidden/>
          </w:rPr>
        </w:r>
        <w:r w:rsidR="00D93D3F">
          <w:rPr>
            <w:noProof/>
            <w:webHidden/>
          </w:rPr>
          <w:fldChar w:fldCharType="separate"/>
        </w:r>
        <w:r w:rsidR="00572AFD">
          <w:rPr>
            <w:noProof/>
            <w:webHidden/>
          </w:rPr>
          <w:t>62</w:t>
        </w:r>
        <w:r w:rsidR="00D93D3F">
          <w:rPr>
            <w:noProof/>
            <w:webHidden/>
          </w:rPr>
          <w:fldChar w:fldCharType="end"/>
        </w:r>
      </w:hyperlink>
    </w:p>
    <w:p w14:paraId="405847CC" w14:textId="77777777" w:rsidR="00E54C96" w:rsidRPr="004259D0" w:rsidRDefault="00E54C96" w:rsidP="00E54C96">
      <w:pPr>
        <w:rPr>
          <w:lang w:val="hr-HR"/>
        </w:rPr>
      </w:pPr>
      <w:r w:rsidRPr="004259D0">
        <w:rPr>
          <w:lang w:val="hr-HR"/>
        </w:rPr>
        <w:fldChar w:fldCharType="end"/>
      </w:r>
    </w:p>
    <w:p w14:paraId="15C73A9F" w14:textId="77777777" w:rsidR="00FD67D3" w:rsidRPr="004259D0" w:rsidRDefault="00FD67D3" w:rsidP="00A12BA6">
      <w:pPr>
        <w:rPr>
          <w:lang w:val="hr-HR" w:eastAsia="ja-JP"/>
        </w:rPr>
      </w:pPr>
    </w:p>
    <w:p w14:paraId="1720B39D" w14:textId="77777777" w:rsidR="00A12BA6" w:rsidRPr="004259D0" w:rsidRDefault="00A12BA6" w:rsidP="00A12BA6">
      <w:pPr>
        <w:rPr>
          <w:lang w:val="hr-HR" w:eastAsia="ja-JP"/>
        </w:rPr>
        <w:sectPr w:rsidR="00A12BA6" w:rsidRPr="004259D0" w:rsidSect="00CA73A8">
          <w:footerReference w:type="first" r:id="rId11"/>
          <w:type w:val="continuous"/>
          <w:pgSz w:w="11906" w:h="16838"/>
          <w:pgMar w:top="1417" w:right="1417" w:bottom="1417" w:left="1417" w:header="708" w:footer="567" w:gutter="0"/>
          <w:pgNumType w:fmt="upperRoman" w:start="1"/>
          <w:cols w:space="708"/>
          <w:titlePg/>
          <w:docGrid w:linePitch="360"/>
        </w:sectPr>
      </w:pPr>
    </w:p>
    <w:p w14:paraId="5C975D4F" w14:textId="77777777" w:rsidR="009E0C96" w:rsidRPr="004259D0" w:rsidRDefault="00AE6FDC" w:rsidP="008160DF">
      <w:pPr>
        <w:pStyle w:val="Heading1"/>
        <w:numPr>
          <w:ilvl w:val="0"/>
          <w:numId w:val="1"/>
        </w:numPr>
        <w:rPr>
          <w:sz w:val="32"/>
          <w:lang w:val="hr-HR"/>
        </w:rPr>
      </w:pPr>
      <w:bookmarkStart w:id="6" w:name="_Toc6418607"/>
      <w:r w:rsidRPr="004259D0">
        <w:rPr>
          <w:sz w:val="32"/>
          <w:lang w:val="hr-HR"/>
        </w:rPr>
        <w:t>OKVIR I CILJEVI EKONOMSKE POLITIKE</w:t>
      </w:r>
      <w:bookmarkEnd w:id="6"/>
    </w:p>
    <w:p w14:paraId="35E38048" w14:textId="77777777" w:rsidR="00AE6FDC" w:rsidRPr="004259D0" w:rsidRDefault="00AE6FDC" w:rsidP="00236982">
      <w:pPr>
        <w:rPr>
          <w:lang w:val="hr-HR"/>
        </w:rPr>
      </w:pPr>
    </w:p>
    <w:p w14:paraId="00E8DB70" w14:textId="0A409097" w:rsidR="00A730C4" w:rsidRPr="004259D0" w:rsidRDefault="00A730C4" w:rsidP="00A730C4">
      <w:pPr>
        <w:jc w:val="both"/>
        <w:rPr>
          <w:lang w:val="hr-HR"/>
        </w:rPr>
      </w:pPr>
      <w:r w:rsidRPr="004259D0">
        <w:rPr>
          <w:lang w:val="hr-HR"/>
        </w:rPr>
        <w:t xml:space="preserve">Okvir ekonomske politike RH u proteklih nekoliko godina obilježen je nizom pozitivnih gospodarskih pokazatelja. Tako je u 2018. godini realni rast </w:t>
      </w:r>
      <w:r w:rsidR="00623E20" w:rsidRPr="004259D0">
        <w:rPr>
          <w:lang w:val="hr-HR"/>
        </w:rPr>
        <w:t xml:space="preserve">bruto domaćeg proizvoda (u daljnjem tekstu: </w:t>
      </w:r>
      <w:r w:rsidRPr="004259D0">
        <w:rPr>
          <w:lang w:val="hr-HR"/>
        </w:rPr>
        <w:t>BDP</w:t>
      </w:r>
      <w:r w:rsidR="00623E20" w:rsidRPr="004259D0">
        <w:rPr>
          <w:lang w:val="hr-HR"/>
        </w:rPr>
        <w:t>)</w:t>
      </w:r>
      <w:r w:rsidRPr="004259D0">
        <w:rPr>
          <w:lang w:val="hr-HR"/>
        </w:rPr>
        <w:t xml:space="preserve"> iznosio 2,6%, čime se nastavio trend oporavka ekonomske aktivnosti započet u 2015. poslije šestogodišnje recesije. Nakon ostvarenog proračunskog viška u 2017. godini</w:t>
      </w:r>
      <w:r w:rsidR="002822FF" w:rsidRPr="004259D0">
        <w:rPr>
          <w:lang w:val="hr-HR"/>
        </w:rPr>
        <w:t xml:space="preserve"> od 2,9 milijardi kuna, odnosno 0,8% BDP-a</w:t>
      </w:r>
      <w:r w:rsidRPr="004259D0">
        <w:rPr>
          <w:lang w:val="hr-HR"/>
        </w:rPr>
        <w:t>, uslijed učinka porezne reforme te racionalne proračunske potrošnje, u 2018. ponovno je ostvaren proračunski višak</w:t>
      </w:r>
      <w:r w:rsidR="002822FF" w:rsidRPr="004259D0">
        <w:rPr>
          <w:lang w:val="hr-HR"/>
        </w:rPr>
        <w:t xml:space="preserve"> od 758 milijuna kuna ili 0,2% BDP-a</w:t>
      </w:r>
      <w:r w:rsidRPr="004259D0">
        <w:rPr>
          <w:lang w:val="hr-HR"/>
        </w:rPr>
        <w:t>, koji bi bio još znatniji da se nisu materijalizirale jednokratne obveze vezano uz Uljanik grupu. Nastavljeno je i daljnje smanjenje udjela javnog duga opće države u BDP-u</w:t>
      </w:r>
      <w:r w:rsidR="00962CFE" w:rsidRPr="004259D0">
        <w:rPr>
          <w:lang w:val="hr-HR"/>
        </w:rPr>
        <w:t xml:space="preserve"> sa 77,8% u 2017. na 74,6% u 2018. godini</w:t>
      </w:r>
      <w:r w:rsidRPr="004259D0">
        <w:rPr>
          <w:lang w:val="hr-HR"/>
        </w:rPr>
        <w:t>. Nadalje, odgovorno vođenje fiskalne politike, praćeno aktivnom politikom upravljanja javnim dugom, doprinijelo je i nastavku trenda smanjenja troškova za kamate opće države. Smanjuju se i makroekonomske neravnoteže, što je potvrdila i EK</w:t>
      </w:r>
      <w:r w:rsidR="00DB46C3" w:rsidRPr="004259D0">
        <w:rPr>
          <w:lang w:val="hr-HR"/>
        </w:rPr>
        <w:t xml:space="preserve"> u čijem je </w:t>
      </w:r>
      <w:r w:rsidR="00773C5A">
        <w:rPr>
          <w:lang w:val="hr-HR"/>
        </w:rPr>
        <w:t>i</w:t>
      </w:r>
      <w:r w:rsidRPr="004259D0">
        <w:rPr>
          <w:lang w:val="hr-HR"/>
        </w:rPr>
        <w:t xml:space="preserve">zvješću iz veljače </w:t>
      </w:r>
      <w:r w:rsidR="00623E20" w:rsidRPr="004259D0">
        <w:rPr>
          <w:lang w:val="hr-HR"/>
        </w:rPr>
        <w:t>2019.</w:t>
      </w:r>
      <w:r w:rsidRPr="004259D0">
        <w:rPr>
          <w:lang w:val="hr-HR"/>
        </w:rPr>
        <w:t xml:space="preserve"> godine RH napredovala iz kategorije prekomjernih makroekonomskih neravnoteža u kategoriju makroekonomskih neravnoteža. Pozitivne gospodarske i fiskalne rezultate prepoznale su i međunarodne financijske institucije, pa je krajem ožujka 2019. godine rejting agencija S&amp;P podigla kreditni rejting RH na razinu investicijskog. Sve navedeno pokazatelj je važnosti političke i institucionalne stabilnosti za ekonomski napredak.</w:t>
      </w:r>
    </w:p>
    <w:p w14:paraId="00371702" w14:textId="3E901014" w:rsidR="00A730C4" w:rsidRPr="004259D0" w:rsidRDefault="00A730C4" w:rsidP="00A730C4">
      <w:pPr>
        <w:jc w:val="both"/>
        <w:rPr>
          <w:lang w:val="hr-HR"/>
        </w:rPr>
      </w:pPr>
      <w:r w:rsidRPr="004259D0">
        <w:rPr>
          <w:lang w:val="hr-HR"/>
        </w:rPr>
        <w:t xml:space="preserve">Usprkos ovakvim pozitivnim pokazateljima, gospodarstvo zemlje i dalje karakteriziraju izazovi </w:t>
      </w:r>
      <w:r w:rsidR="00773C5A">
        <w:rPr>
          <w:lang w:val="hr-HR"/>
        </w:rPr>
        <w:t>niskog</w:t>
      </w:r>
      <w:r w:rsidRPr="004259D0">
        <w:rPr>
          <w:lang w:val="hr-HR"/>
        </w:rPr>
        <w:t xml:space="preserve"> potencijaln</w:t>
      </w:r>
      <w:r w:rsidR="00773C5A">
        <w:rPr>
          <w:lang w:val="hr-HR"/>
        </w:rPr>
        <w:t>og</w:t>
      </w:r>
      <w:r w:rsidRPr="004259D0">
        <w:rPr>
          <w:lang w:val="hr-HR"/>
        </w:rPr>
        <w:t xml:space="preserve"> rast</w:t>
      </w:r>
      <w:r w:rsidR="00773C5A">
        <w:rPr>
          <w:lang w:val="hr-HR"/>
        </w:rPr>
        <w:t>a</w:t>
      </w:r>
      <w:r w:rsidRPr="004259D0">
        <w:rPr>
          <w:lang w:val="hr-HR"/>
        </w:rPr>
        <w:t>, visok</w:t>
      </w:r>
      <w:r w:rsidR="00773C5A">
        <w:rPr>
          <w:lang w:val="hr-HR"/>
        </w:rPr>
        <w:t>e</w:t>
      </w:r>
      <w:r w:rsidRPr="004259D0">
        <w:rPr>
          <w:lang w:val="hr-HR"/>
        </w:rPr>
        <w:t xml:space="preserve"> razin</w:t>
      </w:r>
      <w:r w:rsidR="00773C5A">
        <w:rPr>
          <w:lang w:val="hr-HR"/>
        </w:rPr>
        <w:t>e</w:t>
      </w:r>
      <w:r w:rsidRPr="004259D0">
        <w:rPr>
          <w:lang w:val="hr-HR"/>
        </w:rPr>
        <w:t xml:space="preserve"> javnog duga te prisutn</w:t>
      </w:r>
      <w:r w:rsidR="00773C5A">
        <w:rPr>
          <w:lang w:val="hr-HR"/>
        </w:rPr>
        <w:t>ih</w:t>
      </w:r>
      <w:r w:rsidRPr="004259D0">
        <w:rPr>
          <w:lang w:val="hr-HR"/>
        </w:rPr>
        <w:t xml:space="preserve"> makroekonomsk</w:t>
      </w:r>
      <w:r w:rsidR="00773C5A">
        <w:rPr>
          <w:lang w:val="hr-HR"/>
        </w:rPr>
        <w:t>ih</w:t>
      </w:r>
      <w:r w:rsidRPr="004259D0">
        <w:rPr>
          <w:lang w:val="hr-HR"/>
        </w:rPr>
        <w:t xml:space="preserve"> neravnotež</w:t>
      </w:r>
      <w:r w:rsidR="00773C5A">
        <w:rPr>
          <w:lang w:val="hr-HR"/>
        </w:rPr>
        <w:t>a</w:t>
      </w:r>
      <w:r w:rsidRPr="004259D0">
        <w:rPr>
          <w:lang w:val="hr-HR"/>
        </w:rPr>
        <w:t xml:space="preserve">. Valja spomenuti i važne ekonomsko-političke aktivnosti pred Vladom RH, posebice </w:t>
      </w:r>
      <w:r w:rsidR="00773C5A">
        <w:rPr>
          <w:lang w:val="hr-HR"/>
        </w:rPr>
        <w:t>po pitanju</w:t>
      </w:r>
      <w:r w:rsidRPr="004259D0">
        <w:rPr>
          <w:lang w:val="hr-HR"/>
        </w:rPr>
        <w:t xml:space="preserve"> ekonomsk</w:t>
      </w:r>
      <w:r w:rsidR="00773C5A">
        <w:rPr>
          <w:lang w:val="hr-HR"/>
        </w:rPr>
        <w:t>og</w:t>
      </w:r>
      <w:r w:rsidRPr="004259D0">
        <w:rPr>
          <w:lang w:val="hr-HR"/>
        </w:rPr>
        <w:t xml:space="preserve"> dijalog</w:t>
      </w:r>
      <w:r w:rsidR="00773C5A">
        <w:rPr>
          <w:lang w:val="hr-HR"/>
        </w:rPr>
        <w:t>a</w:t>
      </w:r>
      <w:r w:rsidRPr="004259D0">
        <w:rPr>
          <w:lang w:val="hr-HR"/>
        </w:rPr>
        <w:t xml:space="preserve"> s EU. Primjerice, nakon izlaska iz procedure prekomjernog proračunskog manjka u lipnju 2017. godine, RH je obvezna pridržavati se fiskalnih pravila iz preventivnog dijela Pakta o stabilnosti i rastu. K tome, </w:t>
      </w:r>
      <w:r w:rsidR="00773C5A">
        <w:rPr>
          <w:lang w:val="hr-HR"/>
        </w:rPr>
        <w:t>sukladno planovima za</w:t>
      </w:r>
      <w:r w:rsidRPr="004259D0">
        <w:rPr>
          <w:lang w:val="hr-HR"/>
        </w:rPr>
        <w:t xml:space="preserve"> pristupanje tečajnom mehanizmu ERM II, RH se obvezuje i na ambiciozniji srednjoročni proračunski cilj od -1% BDP-a, koji je u skladu s restriktivnijim uvjetima koje moraju poštivati države članice spomenutog tečajnog mehanizma. </w:t>
      </w:r>
    </w:p>
    <w:p w14:paraId="5C7A477F" w14:textId="77777777" w:rsidR="00A730C4" w:rsidRPr="004259D0" w:rsidRDefault="00A730C4" w:rsidP="00A730C4">
      <w:pPr>
        <w:jc w:val="both"/>
        <w:rPr>
          <w:lang w:val="hr-HR"/>
        </w:rPr>
      </w:pPr>
      <w:r w:rsidRPr="004259D0">
        <w:rPr>
          <w:lang w:val="hr-HR"/>
        </w:rPr>
        <w:t xml:space="preserve">Sve navedeno iziskuje odlučne mjere i jasno definirane ciljeve u svrhu rješavanja prisutnih neravnoteža te ostvarivanja planiranih aktivnosti. U tom smislu ekonomska politika Vlade RH u srednjem roku usmjerit će se na 3 stupa: visoko-kvalitetne investicije, učinkovite strukturne reforme te makroekonomsku stabilnost i održive javne financije. Pritom je prisutan široki politički konsenzus kako su makro-fiskalna stabilnost i održivost temelji kvalitetnog ekonomskog rasta. </w:t>
      </w:r>
    </w:p>
    <w:p w14:paraId="5A15B913" w14:textId="1B8E2536" w:rsidR="00A730C4" w:rsidRPr="004259D0" w:rsidRDefault="00A730C4" w:rsidP="00A730C4">
      <w:pPr>
        <w:jc w:val="both"/>
        <w:rPr>
          <w:lang w:val="hr-HR"/>
        </w:rPr>
      </w:pPr>
      <w:r w:rsidRPr="004259D0">
        <w:rPr>
          <w:lang w:val="hr-HR"/>
        </w:rPr>
        <w:t>Stoga će se u nastupajućem srednjoročnom razdoblju posebna pozornost posvetiti naporima u svrhu daljnjeg jačanja makroekonomske stabilnosti i održivosti javn</w:t>
      </w:r>
      <w:r w:rsidR="001356A7">
        <w:rPr>
          <w:lang w:val="hr-HR"/>
        </w:rPr>
        <w:t>ih financija. Ovo će, zajedno</w:t>
      </w:r>
      <w:r w:rsidRPr="004259D0">
        <w:rPr>
          <w:lang w:val="hr-HR"/>
        </w:rPr>
        <w:t xml:space="preserve"> s istodobnom provedbom strukturnih reformi</w:t>
      </w:r>
      <w:r w:rsidR="00D06808" w:rsidRPr="004259D0">
        <w:rPr>
          <w:lang w:val="hr-HR"/>
        </w:rPr>
        <w:t xml:space="preserve"> 2019.</w:t>
      </w:r>
      <w:r w:rsidRPr="004259D0">
        <w:rPr>
          <w:lang w:val="hr-HR"/>
        </w:rPr>
        <w:t xml:space="preserve"> (detaljno sistematiziranih i opisanih u Nacionalnom programu reformi) stvoriti preduvjete za snažniji i trajniji ekonomski rast te realnu konvergenciju posebice prema zemljama eurozone. Sve navedeno trebalo bi doprinijeti uspješnom ispunjenju preduvjeta za ulazak u ERM II mehanizam te potom i uvođenje eura kao nacionalne valute, što je također jedan od ključnih strateških ciljeva Vlade RH. </w:t>
      </w:r>
    </w:p>
    <w:p w14:paraId="0E69EB7E" w14:textId="7ACE84C3" w:rsidR="00A730C4" w:rsidRPr="004259D0" w:rsidRDefault="00F1656B" w:rsidP="00A730C4">
      <w:pPr>
        <w:jc w:val="both"/>
        <w:rPr>
          <w:lang w:val="hr-HR"/>
        </w:rPr>
      </w:pPr>
      <w:r w:rsidRPr="004259D0">
        <w:rPr>
          <w:lang w:val="hr-HR"/>
        </w:rPr>
        <w:t>U</w:t>
      </w:r>
      <w:r w:rsidR="00A730C4" w:rsidRPr="004259D0">
        <w:rPr>
          <w:lang w:val="hr-HR"/>
        </w:rPr>
        <w:t xml:space="preserve"> narednom razdoblju očekuje se nastavak gospodarskog rasta. Tako se u 2019. godini očekuje realni rast </w:t>
      </w:r>
      <w:r w:rsidRPr="004259D0">
        <w:rPr>
          <w:lang w:val="hr-HR"/>
        </w:rPr>
        <w:t xml:space="preserve">BDP-a </w:t>
      </w:r>
      <w:r w:rsidR="00A730C4" w:rsidRPr="004259D0">
        <w:rPr>
          <w:lang w:val="hr-HR"/>
        </w:rPr>
        <w:t xml:space="preserve">od 2,5%, u 2020. rast će iznositi 2,4%, dok će se u posljednje dvije godine projekcijskog razdoblja bilježiti stope od 2,3%. Pritom će osobna potrošnja biti glavni pokretač ukupnog gospodarskog rasta u prve dvije godine, dok će postupno </w:t>
      </w:r>
      <w:r w:rsidRPr="004259D0">
        <w:rPr>
          <w:lang w:val="hr-HR"/>
        </w:rPr>
        <w:t>opet</w:t>
      </w:r>
      <w:r w:rsidR="00A730C4" w:rsidRPr="004259D0">
        <w:rPr>
          <w:lang w:val="hr-HR"/>
        </w:rPr>
        <w:t xml:space="preserve"> jačati uloga izvoza roba i usluga, a značajan doprinos ostvarit će i bruto investicije u fiksni kapital, posebice pod utjecajem priljeva sredstava iz EU fondova. </w:t>
      </w:r>
    </w:p>
    <w:p w14:paraId="107BEF3B" w14:textId="77777777" w:rsidR="00A730C4" w:rsidRPr="004259D0" w:rsidRDefault="00A730C4" w:rsidP="00A730C4">
      <w:pPr>
        <w:jc w:val="both"/>
        <w:rPr>
          <w:lang w:val="hr-HR"/>
        </w:rPr>
      </w:pPr>
      <w:r w:rsidRPr="004259D0">
        <w:rPr>
          <w:lang w:val="hr-HR"/>
        </w:rPr>
        <w:t xml:space="preserve">Fiskalnu politiku u promatranom srednjoročnom razdoblju karakterizirat će napori u cilju jačanja fiskalne održivosti i ekonomskog rasta uz adekvatnu skrb za standard svih građana. Posebna pozornost posvetit će se alokaciji proračunskih sredstava za provedbu strukturnih reformi, provest će se aktivnosti u svrhu definiranja potencijala za učinkovitije korištenje proračunskih sredstava te će se nastaviti sa strogom kontrolom rashodne strane proračuna. K tome, sav višak prihoda u odnosu na planirane bit će iskorišten za daljnje smanjenje javnog duga. </w:t>
      </w:r>
    </w:p>
    <w:p w14:paraId="7D957595" w14:textId="77777777" w:rsidR="00A730C4" w:rsidRPr="004259D0" w:rsidRDefault="00A730C4" w:rsidP="00A730C4">
      <w:pPr>
        <w:jc w:val="both"/>
        <w:rPr>
          <w:lang w:val="hr-HR"/>
        </w:rPr>
      </w:pPr>
      <w:r w:rsidRPr="004259D0">
        <w:rPr>
          <w:lang w:val="hr-HR"/>
        </w:rPr>
        <w:t xml:space="preserve">Prihodnu stranu proračuna obilježit će učinci trećeg kruga poreznog rasterećenja. Njime se umanjuje regresivni učinak poreza na dodanu vrijednost na najosjetljivije skupine građana te ujedno povećava raspoloživi dohodak. Izmjenama u oporezivanju rada smanjuje se ukupan trošak za poslodavce te se potiče zadržavanje obrazovanih zaposlenika u sektorima s visokom dodanom vrijednošću. U isto vrijeme, privlačenjem sredstava iz EU fondova, planira se realizirati niz značajnih infrastrukturnih te znanstveno-istraživačkih projekata i tako ojačati razvojni potencijal čitave zemlje. </w:t>
      </w:r>
    </w:p>
    <w:p w14:paraId="69CCDC72" w14:textId="77777777" w:rsidR="00A730C4" w:rsidRPr="004259D0" w:rsidRDefault="00A730C4" w:rsidP="00A730C4">
      <w:pPr>
        <w:jc w:val="both"/>
        <w:rPr>
          <w:lang w:val="hr-HR"/>
        </w:rPr>
      </w:pPr>
      <w:r w:rsidRPr="004259D0">
        <w:rPr>
          <w:lang w:val="hr-HR"/>
        </w:rPr>
        <w:t>Rashodna strana proračuna određena je daljnjim jačanjem fiskalne održivosti uz provođenje aktivnosti u svrhu podizanja konkurentnosti gospodarstva, ali i primjerene skrbi za sve slojeve stanovništva. Tako će se provoditi mjere usmjerene ka unapređenju poslovnog okruženja, poboljšanju učinkovitosti pravosudnog sustava te javne uprave i aktivacije državne imovine, što predstavlja temelj i dodatni impuls za planirani rast investicija. U svrhu jačanja potencijalnog rasta provodit će se i mjere za poboljšanje znanja i vještina sadašnje i buduće radne snage te njihovog usklađivanja s potrebama tržišta rada. Vodeći računa o fiskalnoj stabilnosti, ali i osiguranju adekvatnog životnog standarda za građane RH, provodit će se reforme s ciljem jačanja učinkovitosti sustava zdravstva i socijalne skrbi. U ovom kontekstu posebna pozornost posvetit će se i mjerama demografske obnove. Valja istaknuti i kako će u 2020. godini RH po prvi puta predsjedati Vijećem EU, što predstavlja izuzetno značajnu priliku za političku afirmaciju RH, ali i njenu još snažniju integraciju u sustav donošenja odluka i provođenja politika na razini EU. U tom smislu osiguravaju se dodatna sredstva u proračunu upravo za ovu namjenu.</w:t>
      </w:r>
    </w:p>
    <w:p w14:paraId="73320369" w14:textId="68095E4E" w:rsidR="00A730C4" w:rsidRPr="004259D0" w:rsidRDefault="00A730C4" w:rsidP="00A730C4">
      <w:pPr>
        <w:jc w:val="both"/>
        <w:rPr>
          <w:lang w:val="hr-HR"/>
        </w:rPr>
      </w:pPr>
      <w:r w:rsidRPr="004259D0">
        <w:rPr>
          <w:lang w:val="hr-HR"/>
        </w:rPr>
        <w:t xml:space="preserve">Opisani smjer fiskalnih kretanja kako na prihodnoj tako i na rashodnoj strani proračuna rezultirat će blagim manjkom općeg proračuna prema </w:t>
      </w:r>
      <w:r w:rsidR="00D06808" w:rsidRPr="004259D0">
        <w:rPr>
          <w:lang w:val="hr-HR"/>
        </w:rPr>
        <w:t xml:space="preserve">metodologiji </w:t>
      </w:r>
      <w:r w:rsidRPr="004259D0">
        <w:rPr>
          <w:lang w:val="hr-HR"/>
        </w:rPr>
        <w:t>ESA 2010 u iznosu od 0,3% BDP-a u 2019. godini. U 2020. ponovno se predviđa višak od 0,2% BDP-a, dok će pozitivan fiskalni saldo u 2021. i 2022. iznositi 0,4% BDP-a, odnosno 0,8% BDP-a. Planira se i daljnje smanjenje udjela javnog duga u BDP-u i to za dodatnih 12</w:t>
      </w:r>
      <w:r w:rsidR="00EA64EE" w:rsidRPr="004259D0">
        <w:rPr>
          <w:lang w:val="hr-HR"/>
        </w:rPr>
        <w:t>,5</w:t>
      </w:r>
      <w:r w:rsidRPr="004259D0">
        <w:rPr>
          <w:lang w:val="hr-HR"/>
        </w:rPr>
        <w:t xml:space="preserve"> postotnih bodova do 2022. godine. K tome, fiskalne projekcije predstavljene u ovom dokumentu ukazuju da RH ispunjava i novi, stroži srednjoročni proračunski cilj od -1% BDP-a u čitavom projekcijskom razdoblju. Ovime se ujedno i ispunjavaju fiskalna pravila sukladno odredbama Preventivnog mehanizma Pakta o stabilnosti i rastu, kao i odredbama Zakona o fiskalnoj odgovornosti, a čime se osigurava održivo kretanje manjka proračuna opće države i javnog duga.</w:t>
      </w:r>
    </w:p>
    <w:p w14:paraId="0D1ABF99" w14:textId="77777777" w:rsidR="00AE6FDC" w:rsidRPr="004259D0" w:rsidRDefault="00AE6FDC" w:rsidP="00236982">
      <w:pPr>
        <w:rPr>
          <w:lang w:val="hr-HR"/>
        </w:rPr>
      </w:pPr>
      <w:r w:rsidRPr="004259D0">
        <w:rPr>
          <w:lang w:val="hr-HR"/>
        </w:rPr>
        <w:br w:type="page"/>
      </w:r>
    </w:p>
    <w:p w14:paraId="563507F4" w14:textId="77777777" w:rsidR="00AE6FDC" w:rsidRPr="004259D0" w:rsidRDefault="00AE6FDC" w:rsidP="008160DF">
      <w:pPr>
        <w:pStyle w:val="Heading1"/>
        <w:numPr>
          <w:ilvl w:val="0"/>
          <w:numId w:val="1"/>
        </w:numPr>
        <w:rPr>
          <w:sz w:val="32"/>
          <w:lang w:val="hr-HR"/>
        </w:rPr>
      </w:pPr>
      <w:bookmarkStart w:id="7" w:name="_Toc6418608"/>
      <w:r w:rsidRPr="004259D0">
        <w:rPr>
          <w:sz w:val="32"/>
          <w:lang w:val="hr-HR"/>
        </w:rPr>
        <w:t>MAKROEKONOMSKA KRETANJA</w:t>
      </w:r>
      <w:bookmarkEnd w:id="7"/>
    </w:p>
    <w:p w14:paraId="4B7EFE65" w14:textId="77777777" w:rsidR="007D09A3" w:rsidRPr="004259D0" w:rsidRDefault="007D09A3" w:rsidP="007D09A3">
      <w:pPr>
        <w:rPr>
          <w:lang w:val="hr-HR"/>
        </w:rPr>
      </w:pPr>
    </w:p>
    <w:p w14:paraId="0F5D968D" w14:textId="77777777" w:rsidR="00172602" w:rsidRPr="004259D0" w:rsidRDefault="00172602" w:rsidP="00172602">
      <w:pPr>
        <w:jc w:val="both"/>
        <w:rPr>
          <w:lang w:val="hr-HR"/>
        </w:rPr>
      </w:pPr>
      <w:r w:rsidRPr="004259D0">
        <w:rPr>
          <w:lang w:val="hr-HR"/>
        </w:rPr>
        <w:t>Makroekonomski okvir opisan u sljedećim poglavljima sastavljen je u travnju ove godine</w:t>
      </w:r>
      <w:r w:rsidRPr="004259D0">
        <w:rPr>
          <w:rStyle w:val="FootnoteReference"/>
          <w:lang w:val="hr-HR"/>
        </w:rPr>
        <w:footnoteReference w:id="1"/>
      </w:r>
      <w:r w:rsidRPr="004259D0">
        <w:rPr>
          <w:lang w:val="hr-HR"/>
        </w:rPr>
        <w:t>. Vanjske pretpostavke za izradu makroekonomskih projekcija preuzete su iz posljednjih projekcija ECB</w:t>
      </w:r>
      <w:r w:rsidRPr="004259D0">
        <w:rPr>
          <w:rStyle w:val="FootnoteReference"/>
          <w:lang w:val="hr-HR"/>
        </w:rPr>
        <w:footnoteReference w:id="2"/>
      </w:r>
      <w:r w:rsidRPr="004259D0">
        <w:rPr>
          <w:lang w:val="hr-HR"/>
        </w:rPr>
        <w:t>, Međunarodnog monetarnog fonda</w:t>
      </w:r>
      <w:r w:rsidRPr="004259D0">
        <w:rPr>
          <w:rStyle w:val="FootnoteReference"/>
          <w:lang w:val="hr-HR"/>
        </w:rPr>
        <w:footnoteReference w:id="3"/>
      </w:r>
      <w:r w:rsidRPr="004259D0">
        <w:rPr>
          <w:lang w:val="hr-HR"/>
        </w:rPr>
        <w:t xml:space="preserve"> te EK</w:t>
      </w:r>
      <w:r w:rsidRPr="004259D0">
        <w:rPr>
          <w:rStyle w:val="FootnoteReference"/>
          <w:lang w:val="hr-HR"/>
        </w:rPr>
        <w:footnoteReference w:id="4"/>
      </w:r>
      <w:r w:rsidRPr="004259D0">
        <w:rPr>
          <w:lang w:val="hr-HR"/>
        </w:rPr>
        <w:t xml:space="preserve">. </w:t>
      </w:r>
    </w:p>
    <w:p w14:paraId="146556D3" w14:textId="0F587363" w:rsidR="00172602" w:rsidRPr="004259D0" w:rsidRDefault="00172602" w:rsidP="00172602">
      <w:pPr>
        <w:jc w:val="both"/>
        <w:rPr>
          <w:lang w:val="hr-HR"/>
        </w:rPr>
      </w:pPr>
      <w:r w:rsidRPr="004259D0">
        <w:rPr>
          <w:lang w:val="hr-HR"/>
        </w:rPr>
        <w:t xml:space="preserve">Prema najnovijim projekcijama međunarodnih institucija, u usporedbi s njihovim prethodnim projekcijama, sada se očekuju blago nepovoljnija svjetska gospodarska kretanja, </w:t>
      </w:r>
      <w:r w:rsidR="0085756C" w:rsidRPr="004259D0">
        <w:rPr>
          <w:lang w:val="hr-HR"/>
        </w:rPr>
        <w:t xml:space="preserve">uslijed </w:t>
      </w:r>
      <w:r w:rsidR="00AC4B7F" w:rsidRPr="004259D0">
        <w:rPr>
          <w:lang w:val="hr-HR"/>
        </w:rPr>
        <w:t>slabijeg kretanja</w:t>
      </w:r>
      <w:r w:rsidR="0085756C" w:rsidRPr="004259D0">
        <w:rPr>
          <w:lang w:val="hr-HR"/>
        </w:rPr>
        <w:t xml:space="preserve"> ekonomske aktivnosti </w:t>
      </w:r>
      <w:r w:rsidR="00AC4B7F" w:rsidRPr="004259D0">
        <w:rPr>
          <w:lang w:val="hr-HR"/>
        </w:rPr>
        <w:t>na kraju</w:t>
      </w:r>
      <w:r w:rsidR="0085756C" w:rsidRPr="004259D0">
        <w:rPr>
          <w:lang w:val="hr-HR"/>
        </w:rPr>
        <w:t xml:space="preserve"> 2018. od očekivanog te nepovoljnijih kratkoročnih pokazatelja konjunkture početkom 2019. godine, ali i </w:t>
      </w:r>
      <w:r w:rsidRPr="004259D0">
        <w:rPr>
          <w:lang w:val="hr-HR"/>
        </w:rPr>
        <w:t xml:space="preserve">kao posljedica trgovinskih napetosti između SAD-a i Kine, znakova usporavanja gospodarskog rasta Kine i zemalja </w:t>
      </w:r>
      <w:r w:rsidR="004259D0">
        <w:rPr>
          <w:lang w:val="hr-HR"/>
        </w:rPr>
        <w:t>EU</w:t>
      </w:r>
      <w:r w:rsidRPr="004259D0">
        <w:rPr>
          <w:lang w:val="hr-HR"/>
        </w:rPr>
        <w:t xml:space="preserve">, </w:t>
      </w:r>
      <w:r w:rsidR="0085756C" w:rsidRPr="004259D0">
        <w:rPr>
          <w:lang w:val="hr-HR"/>
        </w:rPr>
        <w:t>materijalizacije negativnih rizika u određenim</w:t>
      </w:r>
      <w:r w:rsidRPr="004259D0">
        <w:rPr>
          <w:lang w:val="hr-HR"/>
        </w:rPr>
        <w:t xml:space="preserve"> zemljama s </w:t>
      </w:r>
      <w:r w:rsidR="00650AE5" w:rsidRPr="004259D0">
        <w:rPr>
          <w:lang w:val="hr-HR"/>
        </w:rPr>
        <w:t>prisut</w:t>
      </w:r>
      <w:r w:rsidRPr="004259D0">
        <w:rPr>
          <w:lang w:val="hr-HR"/>
        </w:rPr>
        <w:t xml:space="preserve">nim </w:t>
      </w:r>
      <w:r w:rsidR="00650AE5" w:rsidRPr="004259D0">
        <w:rPr>
          <w:lang w:val="hr-HR"/>
        </w:rPr>
        <w:t xml:space="preserve">makroekonomskim </w:t>
      </w:r>
      <w:r w:rsidRPr="004259D0">
        <w:rPr>
          <w:lang w:val="hr-HR"/>
        </w:rPr>
        <w:t>neravnotežama</w:t>
      </w:r>
      <w:r w:rsidR="0085756C" w:rsidRPr="004259D0">
        <w:rPr>
          <w:lang w:val="hr-HR"/>
        </w:rPr>
        <w:t xml:space="preserve"> te </w:t>
      </w:r>
      <w:r w:rsidR="00AC4B7F" w:rsidRPr="004259D0">
        <w:rPr>
          <w:lang w:val="hr-HR"/>
        </w:rPr>
        <w:t>neizvjesnost</w:t>
      </w:r>
      <w:r w:rsidR="00E7088D" w:rsidRPr="004259D0">
        <w:rPr>
          <w:lang w:val="hr-HR"/>
        </w:rPr>
        <w:t>i</w:t>
      </w:r>
      <w:r w:rsidR="00AC4B7F" w:rsidRPr="004259D0">
        <w:rPr>
          <w:lang w:val="hr-HR"/>
        </w:rPr>
        <w:t xml:space="preserve"> vezan</w:t>
      </w:r>
      <w:r w:rsidR="00E7088D" w:rsidRPr="004259D0">
        <w:rPr>
          <w:lang w:val="hr-HR"/>
        </w:rPr>
        <w:t>e</w:t>
      </w:r>
      <w:r w:rsidR="0085756C" w:rsidRPr="004259D0">
        <w:rPr>
          <w:lang w:val="hr-HR"/>
        </w:rPr>
        <w:t xml:space="preserve"> uz izlazak Ujedinjenog Kraljevstva iz </w:t>
      </w:r>
      <w:r w:rsidR="004259D0">
        <w:rPr>
          <w:lang w:val="hr-HR"/>
        </w:rPr>
        <w:t>EU</w:t>
      </w:r>
      <w:r w:rsidR="0085756C" w:rsidRPr="004259D0">
        <w:rPr>
          <w:lang w:val="hr-HR"/>
        </w:rPr>
        <w:t xml:space="preserve">. </w:t>
      </w:r>
      <w:r w:rsidRPr="004259D0">
        <w:rPr>
          <w:lang w:val="hr-HR"/>
        </w:rPr>
        <w:t xml:space="preserve">Pritom su korekcije projekcija za 2019. godinu nešto izraženije, dok su u ostatku projekcijskog razdoblja očekivane stope rasta svjetskog BDP-a i trgovine ostale gotovo nepromijenjene u odnosu na prethodne projekcije. </w:t>
      </w:r>
      <w:r w:rsidR="00375B3A" w:rsidRPr="004259D0">
        <w:rPr>
          <w:lang w:val="hr-HR"/>
        </w:rPr>
        <w:t>Ovdje</w:t>
      </w:r>
      <w:r w:rsidR="00AC4B7F" w:rsidRPr="004259D0">
        <w:rPr>
          <w:lang w:val="hr-HR"/>
        </w:rPr>
        <w:t xml:space="preserve"> još</w:t>
      </w:r>
      <w:r w:rsidR="00375B3A" w:rsidRPr="004259D0">
        <w:rPr>
          <w:lang w:val="hr-HR"/>
        </w:rPr>
        <w:t xml:space="preserve"> izdvojimo kako su posebno izražene korekcije gospodarskog rasta EU</w:t>
      </w:r>
      <w:r w:rsidR="00AC4B7F" w:rsidRPr="004259D0">
        <w:rPr>
          <w:lang w:val="hr-HR"/>
        </w:rPr>
        <w:t xml:space="preserve"> u 2019., a eurozone još</w:t>
      </w:r>
      <w:r w:rsidR="00375B3A" w:rsidRPr="004259D0">
        <w:rPr>
          <w:lang w:val="hr-HR"/>
        </w:rPr>
        <w:t xml:space="preserve"> i više, što </w:t>
      </w:r>
      <w:r w:rsidR="00AC4B7F" w:rsidRPr="004259D0">
        <w:rPr>
          <w:lang w:val="hr-HR"/>
        </w:rPr>
        <w:t xml:space="preserve">za domaće gospodarstvo predstavlja nepovoljan ispravak, uzevši u obzir visoku i rastuću integriranost </w:t>
      </w:r>
      <w:r w:rsidR="00F74278">
        <w:rPr>
          <w:lang w:val="hr-HR"/>
        </w:rPr>
        <w:t>RH</w:t>
      </w:r>
      <w:r w:rsidR="00AC4B7F" w:rsidRPr="004259D0">
        <w:rPr>
          <w:lang w:val="hr-HR"/>
        </w:rPr>
        <w:t xml:space="preserve"> u EU</w:t>
      </w:r>
      <w:r w:rsidR="00375B3A" w:rsidRPr="004259D0">
        <w:rPr>
          <w:lang w:val="hr-HR"/>
        </w:rPr>
        <w:t xml:space="preserve">. </w:t>
      </w:r>
      <w:r w:rsidRPr="004259D0">
        <w:rPr>
          <w:lang w:val="hr-HR"/>
        </w:rPr>
        <w:t>Tako se očekuje usporavanje rasta svjetskog gospodarstva s 3,6% u 2018. na 3,3% u 2019. godini, a potom povratak na stopu rasta od 3,6% u razdoblju 2020. – 2022. godine. Također, u 2019. se očekuje usporavanje rasta svjetske trgovine na 3,4%</w:t>
      </w:r>
      <w:r w:rsidRPr="004259D0">
        <w:rPr>
          <w:rStyle w:val="FootnoteReference"/>
          <w:lang w:val="hr-HR"/>
        </w:rPr>
        <w:footnoteReference w:id="5"/>
      </w:r>
      <w:r w:rsidRPr="004259D0">
        <w:rPr>
          <w:lang w:val="hr-HR"/>
        </w:rPr>
        <w:t xml:space="preserve">, a potom ubrzanje na 3,9% u ostatku projekcijskog razdoblja. Predviđa se kako će </w:t>
      </w:r>
      <w:r w:rsidR="0032483C" w:rsidRPr="004259D0">
        <w:rPr>
          <w:lang w:val="hr-HR"/>
        </w:rPr>
        <w:t xml:space="preserve">u narednom srednjoročnom razdoblju </w:t>
      </w:r>
      <w:r w:rsidR="00650AE5" w:rsidRPr="004259D0">
        <w:rPr>
          <w:lang w:val="hr-HR"/>
        </w:rPr>
        <w:t>globalni</w:t>
      </w:r>
      <w:r w:rsidR="0032483C" w:rsidRPr="004259D0">
        <w:rPr>
          <w:lang w:val="hr-HR"/>
        </w:rPr>
        <w:t xml:space="preserve"> uvjeti financiranja ostati </w:t>
      </w:r>
      <w:r w:rsidR="000808BD" w:rsidRPr="004259D0">
        <w:rPr>
          <w:lang w:val="hr-HR"/>
        </w:rPr>
        <w:t>pretežito</w:t>
      </w:r>
      <w:r w:rsidR="0032483C" w:rsidRPr="004259D0">
        <w:rPr>
          <w:lang w:val="hr-HR"/>
        </w:rPr>
        <w:t xml:space="preserve"> povoljn</w:t>
      </w:r>
      <w:r w:rsidR="00650AE5" w:rsidRPr="004259D0">
        <w:rPr>
          <w:lang w:val="hr-HR"/>
        </w:rPr>
        <w:t xml:space="preserve">i, budući da </w:t>
      </w:r>
      <w:r w:rsidRPr="004259D0">
        <w:rPr>
          <w:lang w:val="hr-HR"/>
        </w:rPr>
        <w:t xml:space="preserve">se </w:t>
      </w:r>
      <w:r w:rsidR="00650AE5" w:rsidRPr="004259D0">
        <w:rPr>
          <w:lang w:val="hr-HR"/>
        </w:rPr>
        <w:t>očekuje da će</w:t>
      </w:r>
      <w:r w:rsidR="00E7088D" w:rsidRPr="004259D0">
        <w:rPr>
          <w:lang w:val="hr-HR"/>
        </w:rPr>
        <w:t xml:space="preserve"> se</w:t>
      </w:r>
      <w:r w:rsidR="00650AE5" w:rsidRPr="004259D0">
        <w:rPr>
          <w:lang w:val="hr-HR"/>
        </w:rPr>
        <w:t xml:space="preserve"> ključne </w:t>
      </w:r>
      <w:r w:rsidRPr="004259D0">
        <w:rPr>
          <w:lang w:val="hr-HR"/>
        </w:rPr>
        <w:t>kamatne stope ECB-a i F</w:t>
      </w:r>
      <w:r w:rsidR="00E7088D" w:rsidRPr="004259D0">
        <w:rPr>
          <w:lang w:val="hr-HR"/>
        </w:rPr>
        <w:t>ed</w:t>
      </w:r>
      <w:r w:rsidRPr="004259D0">
        <w:rPr>
          <w:lang w:val="hr-HR"/>
        </w:rPr>
        <w:t xml:space="preserve">-a zadržati na postojećim razinama tijekom 2019. godine te </w:t>
      </w:r>
      <w:r w:rsidR="0032483C" w:rsidRPr="004259D0">
        <w:rPr>
          <w:lang w:val="hr-HR"/>
        </w:rPr>
        <w:t>da</w:t>
      </w:r>
      <w:r w:rsidRPr="004259D0">
        <w:rPr>
          <w:lang w:val="hr-HR"/>
        </w:rPr>
        <w:t xml:space="preserve"> će kratkoročne kamatne stope u europodručju ostati negativne </w:t>
      </w:r>
      <w:r w:rsidR="0032483C" w:rsidRPr="004259D0">
        <w:rPr>
          <w:lang w:val="hr-HR"/>
        </w:rPr>
        <w:t>najmanje</w:t>
      </w:r>
      <w:r w:rsidRPr="004259D0">
        <w:rPr>
          <w:lang w:val="hr-HR"/>
        </w:rPr>
        <w:t xml:space="preserve"> do 2020. godine. </w:t>
      </w:r>
      <w:r w:rsidR="008B1705" w:rsidRPr="004259D0">
        <w:rPr>
          <w:lang w:val="hr-HR"/>
        </w:rPr>
        <w:t>Očekuje</w:t>
      </w:r>
      <w:r w:rsidRPr="004259D0">
        <w:rPr>
          <w:lang w:val="hr-HR"/>
        </w:rPr>
        <w:t xml:space="preserve"> se da će prosječni tečaj eura prema američkom dolaru iznositi 1,13 USD/EUR u čitavom projekcijskom razdoblju, što predstavlja jačanje dolara prema euru od 4,2% u 2019. godini. Što se tiče</w:t>
      </w:r>
      <w:r w:rsidR="00E603F5" w:rsidRPr="004259D0">
        <w:rPr>
          <w:lang w:val="hr-HR"/>
        </w:rPr>
        <w:t xml:space="preserve"> cjenovnih kretanja, predviđa se kako će inflacija </w:t>
      </w:r>
      <w:r w:rsidR="005712BB" w:rsidRPr="004259D0">
        <w:rPr>
          <w:lang w:val="hr-HR"/>
        </w:rPr>
        <w:t xml:space="preserve">u eurozoni usporiti u 2019. te u srednjem roku </w:t>
      </w:r>
      <w:r w:rsidR="00E603F5" w:rsidRPr="004259D0">
        <w:rPr>
          <w:lang w:val="hr-HR"/>
        </w:rPr>
        <w:t xml:space="preserve">ostati </w:t>
      </w:r>
      <w:r w:rsidR="000808BD" w:rsidRPr="004259D0">
        <w:rPr>
          <w:lang w:val="hr-HR"/>
        </w:rPr>
        <w:t>razmjerno</w:t>
      </w:r>
      <w:r w:rsidR="002B1CA9" w:rsidRPr="004259D0">
        <w:rPr>
          <w:lang w:val="hr-HR"/>
        </w:rPr>
        <w:t xml:space="preserve"> niska </w:t>
      </w:r>
      <w:r w:rsidR="005712BB" w:rsidRPr="004259D0">
        <w:rPr>
          <w:lang w:val="hr-HR"/>
        </w:rPr>
        <w:t>uz blago ubrzavajuću dinamiku</w:t>
      </w:r>
      <w:r w:rsidR="002B1CA9" w:rsidRPr="004259D0">
        <w:rPr>
          <w:lang w:val="hr-HR"/>
        </w:rPr>
        <w:t>. C</w:t>
      </w:r>
      <w:r w:rsidRPr="004259D0">
        <w:rPr>
          <w:lang w:val="hr-HR"/>
        </w:rPr>
        <w:t>ijene nafte</w:t>
      </w:r>
      <w:r w:rsidR="002B1CA9" w:rsidRPr="004259D0">
        <w:rPr>
          <w:lang w:val="hr-HR"/>
        </w:rPr>
        <w:t xml:space="preserve"> će</w:t>
      </w:r>
      <w:r w:rsidRPr="004259D0">
        <w:rPr>
          <w:lang w:val="hr-HR"/>
        </w:rPr>
        <w:t xml:space="preserve"> bilježiti smanjenja u čitavom </w:t>
      </w:r>
      <w:r w:rsidR="002B1CA9" w:rsidRPr="004259D0">
        <w:rPr>
          <w:lang w:val="hr-HR"/>
        </w:rPr>
        <w:t>promatranom</w:t>
      </w:r>
      <w:r w:rsidRPr="004259D0">
        <w:rPr>
          <w:lang w:val="hr-HR"/>
        </w:rPr>
        <w:t xml:space="preserve"> razdoblju, dok se kod cijena primarnih sirovina isključujući naftu, nakon neznatnog pada u 2019., u ostatku projekcijskog razdoblja očekuje blagi rast.</w:t>
      </w:r>
    </w:p>
    <w:p w14:paraId="204A6722" w14:textId="77777777" w:rsidR="0096473C" w:rsidRPr="004259D0" w:rsidRDefault="0096473C" w:rsidP="000865CF">
      <w:pPr>
        <w:jc w:val="both"/>
        <w:rPr>
          <w:lang w:val="hr-HR"/>
        </w:rPr>
      </w:pPr>
    </w:p>
    <w:p w14:paraId="61635206" w14:textId="77777777" w:rsidR="002C7816" w:rsidRPr="004259D0" w:rsidRDefault="002C7816" w:rsidP="000865CF">
      <w:pPr>
        <w:jc w:val="both"/>
        <w:rPr>
          <w:lang w:val="hr-HR"/>
        </w:rPr>
      </w:pPr>
    </w:p>
    <w:p w14:paraId="3D1B0574" w14:textId="77777777" w:rsidR="00E7088D" w:rsidRPr="004259D0" w:rsidRDefault="00E7088D" w:rsidP="000865CF">
      <w:pPr>
        <w:jc w:val="both"/>
        <w:rPr>
          <w:lang w:val="hr-HR"/>
        </w:rPr>
      </w:pPr>
    </w:p>
    <w:p w14:paraId="50AD100D" w14:textId="77777777" w:rsidR="00E7088D" w:rsidRPr="004259D0" w:rsidRDefault="00E7088D" w:rsidP="000865CF">
      <w:pPr>
        <w:jc w:val="both"/>
        <w:rPr>
          <w:lang w:val="hr-HR"/>
        </w:rPr>
      </w:pPr>
    </w:p>
    <w:p w14:paraId="1A4DA58E" w14:textId="77777777" w:rsidR="00E7088D" w:rsidRPr="004259D0" w:rsidRDefault="00E7088D" w:rsidP="000865CF">
      <w:pPr>
        <w:jc w:val="both"/>
        <w:rPr>
          <w:lang w:val="hr-HR"/>
        </w:rPr>
      </w:pPr>
    </w:p>
    <w:p w14:paraId="3A4EA5BE" w14:textId="77777777" w:rsidR="00A86162" w:rsidRPr="004259D0" w:rsidRDefault="00A86162" w:rsidP="008160DF">
      <w:pPr>
        <w:pStyle w:val="Heading2"/>
        <w:numPr>
          <w:ilvl w:val="1"/>
          <w:numId w:val="1"/>
        </w:numPr>
        <w:rPr>
          <w:lang w:val="hr-HR"/>
        </w:rPr>
      </w:pPr>
      <w:bookmarkStart w:id="8" w:name="_Toc6418609"/>
      <w:r w:rsidRPr="004259D0">
        <w:rPr>
          <w:lang w:val="hr-HR"/>
        </w:rPr>
        <w:t>Bruto domaći proizvod</w:t>
      </w:r>
      <w:bookmarkEnd w:id="8"/>
      <w:r w:rsidRPr="004259D0">
        <w:rPr>
          <w:lang w:val="hr-HR"/>
        </w:rPr>
        <w:t xml:space="preserve"> </w:t>
      </w:r>
    </w:p>
    <w:p w14:paraId="763943A2" w14:textId="77777777" w:rsidR="00A86162" w:rsidRPr="004259D0" w:rsidRDefault="00A86162" w:rsidP="00B32FF2">
      <w:pPr>
        <w:rPr>
          <w:lang w:val="hr-HR"/>
        </w:rPr>
      </w:pPr>
    </w:p>
    <w:p w14:paraId="4BA6318F" w14:textId="29C67248" w:rsidR="00172602" w:rsidRPr="004259D0" w:rsidRDefault="00172602" w:rsidP="00172602">
      <w:pPr>
        <w:spacing w:before="240"/>
        <w:jc w:val="both"/>
        <w:rPr>
          <w:lang w:val="hr-HR"/>
        </w:rPr>
      </w:pPr>
      <w:r w:rsidRPr="004259D0">
        <w:rPr>
          <w:lang w:val="hr-HR"/>
        </w:rPr>
        <w:t>Tijekom 2018. godine nastavljena su pozitivna kretanja ekonomske aktivnosti započeta u 2015., nakon šestogodišnje recesije. Realni rast BDP</w:t>
      </w:r>
      <w:r w:rsidR="00E7088D" w:rsidRPr="004259D0">
        <w:rPr>
          <w:lang w:val="hr-HR"/>
        </w:rPr>
        <w:t>-a</w:t>
      </w:r>
      <w:r w:rsidRPr="004259D0">
        <w:rPr>
          <w:lang w:val="hr-HR"/>
        </w:rPr>
        <w:t xml:space="preserve"> iznosio je 2,6%</w:t>
      </w:r>
      <w:r w:rsidRPr="004259D0">
        <w:rPr>
          <w:rStyle w:val="FootnoteReference"/>
          <w:lang w:val="hr-HR"/>
        </w:rPr>
        <w:footnoteReference w:id="6"/>
      </w:r>
      <w:r w:rsidRPr="004259D0">
        <w:rPr>
          <w:lang w:val="hr-HR"/>
        </w:rPr>
        <w:t xml:space="preserve">, prvenstveno potaknut domaćom potražnjom, dok je doprinos neto inozemne potražnje bio negativan, a doprinos promjene zaliha pozitivan. Promatrajući tromjesečnu dinamiku, gospodarski rast bio je najsnažniji u prvoj polovici godine te je počeo slabjeti prema kraju godine, pri čemu je </w:t>
      </w:r>
      <w:r w:rsidR="002B1CA9" w:rsidRPr="004259D0">
        <w:rPr>
          <w:lang w:val="hr-HR"/>
        </w:rPr>
        <w:t xml:space="preserve">ekonomska aktivnost ostvarena </w:t>
      </w:r>
      <w:r w:rsidRPr="004259D0">
        <w:rPr>
          <w:lang w:val="hr-HR"/>
        </w:rPr>
        <w:t xml:space="preserve">u posljednjem tromjesečju 2018. </w:t>
      </w:r>
      <w:r w:rsidR="002B1CA9" w:rsidRPr="004259D0">
        <w:rPr>
          <w:lang w:val="hr-HR"/>
        </w:rPr>
        <w:t xml:space="preserve">bila ispod očekivanja, uz zabilježen </w:t>
      </w:r>
      <w:r w:rsidRPr="004259D0">
        <w:rPr>
          <w:lang w:val="hr-HR"/>
        </w:rPr>
        <w:t xml:space="preserve">neznatan rast desezoniranog BDP-a od 0,1%. </w:t>
      </w:r>
      <w:r w:rsidR="002B1CA9" w:rsidRPr="004259D0">
        <w:rPr>
          <w:lang w:val="hr-HR"/>
        </w:rPr>
        <w:t>M</w:t>
      </w:r>
      <w:r w:rsidR="00075DF2" w:rsidRPr="004259D0">
        <w:rPr>
          <w:lang w:val="hr-HR"/>
        </w:rPr>
        <w:t xml:space="preserve">eđutim, unatoč sniženom učinku prijenosa na rast u 2019., </w:t>
      </w:r>
      <w:r w:rsidR="002B1CA9" w:rsidRPr="004259D0">
        <w:rPr>
          <w:lang w:val="hr-HR"/>
        </w:rPr>
        <w:t xml:space="preserve">dostupni </w:t>
      </w:r>
      <w:r w:rsidR="00075DF2" w:rsidRPr="004259D0">
        <w:rPr>
          <w:lang w:val="hr-HR"/>
        </w:rPr>
        <w:t>visokofrekventni pokazatelji</w:t>
      </w:r>
      <w:r w:rsidR="002B1CA9" w:rsidRPr="004259D0">
        <w:rPr>
          <w:lang w:val="hr-HR"/>
        </w:rPr>
        <w:t xml:space="preserve"> s početka godine</w:t>
      </w:r>
      <w:r w:rsidR="00075DF2" w:rsidRPr="004259D0">
        <w:rPr>
          <w:lang w:val="hr-HR"/>
        </w:rPr>
        <w:t>, kao i pokazatelji ekonomskog raspoloženja</w:t>
      </w:r>
      <w:r w:rsidR="002B1CA9" w:rsidRPr="004259D0">
        <w:rPr>
          <w:lang w:val="hr-HR"/>
        </w:rPr>
        <w:t>,</w:t>
      </w:r>
      <w:r w:rsidR="00075DF2" w:rsidRPr="004259D0">
        <w:rPr>
          <w:lang w:val="hr-HR"/>
        </w:rPr>
        <w:t xml:space="preserve"> opet ukazuju na pozitivnu promjenu trenda gospodarske aktivnosti.</w:t>
      </w:r>
      <w:r w:rsidR="00CC287E" w:rsidRPr="004259D0">
        <w:rPr>
          <w:lang w:val="hr-HR"/>
        </w:rPr>
        <w:t xml:space="preserve"> </w:t>
      </w:r>
    </w:p>
    <w:p w14:paraId="41C8257F" w14:textId="78C1E706" w:rsidR="00172602" w:rsidRPr="004259D0" w:rsidRDefault="00172602" w:rsidP="00172602">
      <w:pPr>
        <w:spacing w:before="240"/>
        <w:jc w:val="both"/>
        <w:rPr>
          <w:lang w:val="hr-HR"/>
        </w:rPr>
      </w:pPr>
      <w:r w:rsidRPr="004259D0">
        <w:rPr>
          <w:lang w:val="hr-HR"/>
        </w:rPr>
        <w:t>U srednjoročnom razdoblju očekuje se nastavak gospodarskog rasta</w:t>
      </w:r>
      <w:r w:rsidR="00E7088D" w:rsidRPr="004259D0">
        <w:rPr>
          <w:lang w:val="hr-HR"/>
        </w:rPr>
        <w:t xml:space="preserve"> </w:t>
      </w:r>
      <w:r w:rsidRPr="004259D0">
        <w:rPr>
          <w:lang w:val="hr-HR"/>
        </w:rPr>
        <w:t xml:space="preserve">po neznatno usporavajućim stopama </w:t>
      </w:r>
      <w:r w:rsidR="009352DF" w:rsidRPr="004259D0">
        <w:rPr>
          <w:lang w:val="hr-HR"/>
        </w:rPr>
        <w:t>u uvjetima</w:t>
      </w:r>
      <w:r w:rsidR="00650AE5" w:rsidRPr="004259D0">
        <w:rPr>
          <w:lang w:val="hr-HR"/>
        </w:rPr>
        <w:t xml:space="preserve"> </w:t>
      </w:r>
      <w:r w:rsidR="0034195F" w:rsidRPr="004259D0">
        <w:rPr>
          <w:lang w:val="hr-HR"/>
        </w:rPr>
        <w:t xml:space="preserve">zadržavanja </w:t>
      </w:r>
      <w:r w:rsidR="009352DF" w:rsidRPr="004259D0">
        <w:rPr>
          <w:lang w:val="hr-HR"/>
        </w:rPr>
        <w:t>pozitiv</w:t>
      </w:r>
      <w:r w:rsidR="00650AE5" w:rsidRPr="004259D0">
        <w:rPr>
          <w:lang w:val="hr-HR"/>
        </w:rPr>
        <w:t>n</w:t>
      </w:r>
      <w:r w:rsidR="009352DF" w:rsidRPr="004259D0">
        <w:rPr>
          <w:lang w:val="hr-HR"/>
        </w:rPr>
        <w:t>og</w:t>
      </w:r>
      <w:r w:rsidR="00650AE5" w:rsidRPr="004259D0">
        <w:rPr>
          <w:lang w:val="hr-HR"/>
        </w:rPr>
        <w:t xml:space="preserve"> jaz</w:t>
      </w:r>
      <w:r w:rsidR="009352DF" w:rsidRPr="004259D0">
        <w:rPr>
          <w:lang w:val="hr-HR"/>
        </w:rPr>
        <w:t>a</w:t>
      </w:r>
      <w:r w:rsidR="00650AE5" w:rsidRPr="004259D0">
        <w:rPr>
          <w:lang w:val="hr-HR"/>
        </w:rPr>
        <w:t xml:space="preserve"> </w:t>
      </w:r>
      <w:r w:rsidR="00261D45" w:rsidRPr="004259D0">
        <w:rPr>
          <w:lang w:val="hr-HR"/>
        </w:rPr>
        <w:t>bruto domaćeg proizvoda</w:t>
      </w:r>
      <w:r w:rsidR="000E639D" w:rsidRPr="004259D0">
        <w:rPr>
          <w:lang w:val="hr-HR"/>
        </w:rPr>
        <w:t xml:space="preserve">. </w:t>
      </w:r>
      <w:r w:rsidRPr="004259D0">
        <w:rPr>
          <w:lang w:val="hr-HR"/>
        </w:rPr>
        <w:t>U 2019. godini predviđa se realni rast BDP-a od 2,5%, koji će potom usporiti na 2,4% u 2020. te dalje na 2,3% u 2021. i 2022. godini.</w:t>
      </w:r>
      <w:r w:rsidR="0085064B" w:rsidRPr="004259D0">
        <w:rPr>
          <w:rStyle w:val="FootnoteReference"/>
          <w:lang w:val="hr-HR"/>
        </w:rPr>
        <w:footnoteReference w:id="7"/>
      </w:r>
      <w:r w:rsidRPr="004259D0">
        <w:rPr>
          <w:lang w:val="hr-HR"/>
        </w:rPr>
        <w:t xml:space="preserve"> Kroz čitavo </w:t>
      </w:r>
      <w:r w:rsidR="00A1127D" w:rsidRPr="004259D0">
        <w:rPr>
          <w:lang w:val="hr-HR"/>
        </w:rPr>
        <w:t>srednjoročno</w:t>
      </w:r>
      <w:r w:rsidRPr="004259D0">
        <w:rPr>
          <w:lang w:val="hr-HR"/>
        </w:rPr>
        <w:t xml:space="preserve"> razdoblje gospodarski rast će se temeljiti isključivo na doprinosu domaće potražnje, dok će doprinos neto inozemne potražnje biti negativan te će se</w:t>
      </w:r>
      <w:r w:rsidR="00A1127D" w:rsidRPr="004259D0">
        <w:rPr>
          <w:lang w:val="hr-HR"/>
        </w:rPr>
        <w:t>, u apsolutnom iznosu,</w:t>
      </w:r>
      <w:r w:rsidRPr="004259D0">
        <w:rPr>
          <w:lang w:val="hr-HR"/>
        </w:rPr>
        <w:t xml:space="preserve"> </w:t>
      </w:r>
      <w:r w:rsidR="00A1127D" w:rsidRPr="004259D0">
        <w:rPr>
          <w:lang w:val="hr-HR"/>
        </w:rPr>
        <w:t>blago</w:t>
      </w:r>
      <w:r w:rsidRPr="004259D0">
        <w:rPr>
          <w:lang w:val="hr-HR"/>
        </w:rPr>
        <w:t xml:space="preserve"> s</w:t>
      </w:r>
      <w:r w:rsidR="00A1127D" w:rsidRPr="004259D0">
        <w:rPr>
          <w:lang w:val="hr-HR"/>
        </w:rPr>
        <w:t>manjivati prema kraju razdoblja. Projiciran je i neznatan doprinos promjena</w:t>
      </w:r>
      <w:r w:rsidRPr="004259D0">
        <w:rPr>
          <w:lang w:val="hr-HR"/>
        </w:rPr>
        <w:t xml:space="preserve"> zaliha </w:t>
      </w:r>
      <w:r w:rsidR="00A1127D" w:rsidRPr="004259D0">
        <w:rPr>
          <w:lang w:val="hr-HR"/>
        </w:rPr>
        <w:t>gospodarskom rastu, negativnog predznaka početkom, a pozitivnog predznaka krajem projekcijskog razdoblja</w:t>
      </w:r>
      <w:r w:rsidRPr="004259D0">
        <w:rPr>
          <w:lang w:val="hr-HR"/>
        </w:rPr>
        <w:t xml:space="preserve">. </w:t>
      </w:r>
    </w:p>
    <w:p w14:paraId="2395262E" w14:textId="3207D10B" w:rsidR="00025E89" w:rsidRPr="004259D0" w:rsidRDefault="00E43F9C" w:rsidP="000865CF">
      <w:pPr>
        <w:spacing w:after="0" w:line="240" w:lineRule="auto"/>
        <w:rPr>
          <w:i/>
          <w:lang w:val="hr-HR"/>
        </w:rPr>
      </w:pPr>
      <w:bookmarkStart w:id="9" w:name="_Toc6418633"/>
      <w:r w:rsidRPr="004259D0">
        <w:rPr>
          <w:i/>
          <w:lang w:val="hr-HR"/>
        </w:rPr>
        <w:t xml:space="preserve">Tablica </w:t>
      </w:r>
      <w:r w:rsidR="00821428" w:rsidRPr="004259D0">
        <w:rPr>
          <w:i/>
          <w:lang w:val="hr-HR"/>
        </w:rPr>
        <w:fldChar w:fldCharType="begin"/>
      </w:r>
      <w:r w:rsidR="00821428" w:rsidRPr="004259D0">
        <w:rPr>
          <w:i/>
          <w:lang w:val="hr-HR"/>
        </w:rPr>
        <w:instrText xml:space="preserve"> STYLEREF 1 \s </w:instrText>
      </w:r>
      <w:r w:rsidR="00821428" w:rsidRPr="004259D0">
        <w:rPr>
          <w:i/>
          <w:lang w:val="hr-HR"/>
        </w:rPr>
        <w:fldChar w:fldCharType="separate"/>
      </w:r>
      <w:r w:rsidR="00572AFD">
        <w:rPr>
          <w:i/>
          <w:noProof/>
          <w:lang w:val="hr-HR"/>
        </w:rPr>
        <w:t>2</w:t>
      </w:r>
      <w:r w:rsidR="00821428" w:rsidRPr="004259D0">
        <w:rPr>
          <w:i/>
          <w:lang w:val="hr-HR"/>
        </w:rPr>
        <w:fldChar w:fldCharType="end"/>
      </w:r>
      <w:r w:rsidR="00821428" w:rsidRPr="004259D0">
        <w:rPr>
          <w:i/>
          <w:lang w:val="hr-HR"/>
        </w:rPr>
        <w:t>.</w:t>
      </w:r>
      <w:r w:rsidR="00821428" w:rsidRPr="004259D0">
        <w:rPr>
          <w:i/>
          <w:lang w:val="hr-HR"/>
        </w:rPr>
        <w:fldChar w:fldCharType="begin"/>
      </w:r>
      <w:r w:rsidR="00821428" w:rsidRPr="004259D0">
        <w:rPr>
          <w:i/>
          <w:lang w:val="hr-HR"/>
        </w:rPr>
        <w:instrText xml:space="preserve"> SEQ Tablica \* ARABIC \s 1 </w:instrText>
      </w:r>
      <w:r w:rsidR="00821428" w:rsidRPr="004259D0">
        <w:rPr>
          <w:i/>
          <w:lang w:val="hr-HR"/>
        </w:rPr>
        <w:fldChar w:fldCharType="separate"/>
      </w:r>
      <w:r w:rsidR="00572AFD">
        <w:rPr>
          <w:i/>
          <w:noProof/>
          <w:lang w:val="hr-HR"/>
        </w:rPr>
        <w:t>1</w:t>
      </w:r>
      <w:r w:rsidR="00821428" w:rsidRPr="004259D0">
        <w:rPr>
          <w:i/>
          <w:lang w:val="hr-HR"/>
        </w:rPr>
        <w:fldChar w:fldCharType="end"/>
      </w:r>
      <w:r w:rsidRPr="004259D0">
        <w:rPr>
          <w:i/>
          <w:lang w:val="hr-HR"/>
        </w:rPr>
        <w:t xml:space="preserve">. </w:t>
      </w:r>
      <w:r w:rsidR="00A86162" w:rsidRPr="004259D0">
        <w:rPr>
          <w:i/>
          <w:lang w:val="hr-HR"/>
        </w:rPr>
        <w:t>Projekcija bruto domaćeg proizvoda</w:t>
      </w:r>
      <w:bookmarkEnd w:id="9"/>
      <w:r w:rsidR="00A86162" w:rsidRPr="004259D0">
        <w:rPr>
          <w:i/>
          <w:lang w:val="hr-HR"/>
        </w:rPr>
        <w:t xml:space="preserve"> </w:t>
      </w:r>
    </w:p>
    <w:p w14:paraId="785407F0" w14:textId="59351E1F" w:rsidR="00822668" w:rsidRPr="004259D0" w:rsidRDefault="00036748" w:rsidP="000865CF">
      <w:pPr>
        <w:spacing w:after="0" w:line="240" w:lineRule="auto"/>
        <w:rPr>
          <w:i/>
          <w:lang w:val="hr-HR"/>
        </w:rPr>
      </w:pPr>
      <w:r w:rsidRPr="004259D0">
        <w:rPr>
          <w:noProof/>
          <w:lang w:val="hr-HR" w:eastAsia="hr-HR"/>
        </w:rPr>
        <w:drawing>
          <wp:inline distT="0" distB="0" distL="0" distR="0" wp14:anchorId="183FC456" wp14:editId="3F3D6992">
            <wp:extent cx="5760720" cy="3159904"/>
            <wp:effectExtent l="0" t="0" r="0" b="254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159904"/>
                    </a:xfrm>
                    <a:prstGeom prst="rect">
                      <a:avLst/>
                    </a:prstGeom>
                    <a:noFill/>
                    <a:ln>
                      <a:noFill/>
                    </a:ln>
                  </pic:spPr>
                </pic:pic>
              </a:graphicData>
            </a:graphic>
          </wp:inline>
        </w:drawing>
      </w:r>
    </w:p>
    <w:p w14:paraId="2F3BD426" w14:textId="42D173CB" w:rsidR="00172602" w:rsidRPr="004259D0" w:rsidRDefault="00822668" w:rsidP="00172602">
      <w:pPr>
        <w:spacing w:after="0"/>
        <w:jc w:val="both"/>
        <w:rPr>
          <w:i/>
          <w:sz w:val="20"/>
          <w:lang w:val="hr-HR"/>
        </w:rPr>
      </w:pPr>
      <w:r w:rsidRPr="004259D0">
        <w:rPr>
          <w:i/>
          <w:sz w:val="20"/>
          <w:lang w:val="hr-HR"/>
        </w:rPr>
        <w:t>Napomena: Podaci za 2018. su preliminarni.</w:t>
      </w:r>
    </w:p>
    <w:p w14:paraId="2BE684E9" w14:textId="77777777" w:rsidR="00A86162" w:rsidRPr="004259D0" w:rsidRDefault="001012BA" w:rsidP="00AE784C">
      <w:pPr>
        <w:jc w:val="both"/>
        <w:rPr>
          <w:i/>
          <w:sz w:val="20"/>
          <w:lang w:val="hr-HR"/>
        </w:rPr>
      </w:pPr>
      <w:r w:rsidRPr="004259D0">
        <w:rPr>
          <w:i/>
          <w:sz w:val="20"/>
          <w:lang w:val="hr-HR"/>
        </w:rPr>
        <w:t xml:space="preserve">Izvor: </w:t>
      </w:r>
      <w:r w:rsidR="00A86162" w:rsidRPr="004259D0">
        <w:rPr>
          <w:i/>
          <w:sz w:val="20"/>
          <w:lang w:val="hr-HR"/>
        </w:rPr>
        <w:t xml:space="preserve">Državni zavod za statistiku, Ministarstvo financija </w:t>
      </w:r>
    </w:p>
    <w:p w14:paraId="7F5684CA" w14:textId="4914048A" w:rsidR="00172602" w:rsidRPr="004259D0" w:rsidRDefault="00172602" w:rsidP="00172602">
      <w:pPr>
        <w:jc w:val="both"/>
        <w:rPr>
          <w:rFonts w:eastAsia="Times New Roman" w:cs="Times New Roman"/>
          <w:lang w:val="hr-HR"/>
        </w:rPr>
      </w:pPr>
      <w:r w:rsidRPr="004259D0">
        <w:rPr>
          <w:rFonts w:eastAsia="Times New Roman" w:cs="Times New Roman"/>
          <w:lang w:val="hr-HR"/>
        </w:rPr>
        <w:t>U usporedbi s posljednjim makroekonomskim projekcijama Vlade RH iz studenog 2018. godine</w:t>
      </w:r>
      <w:r w:rsidRPr="004259D0">
        <w:rPr>
          <w:rStyle w:val="FootnoteReference"/>
          <w:rFonts w:eastAsia="Times New Roman"/>
          <w:lang w:val="hr-HR"/>
        </w:rPr>
        <w:footnoteReference w:id="8"/>
      </w:r>
      <w:r w:rsidRPr="004259D0">
        <w:rPr>
          <w:rFonts w:eastAsia="Times New Roman" w:cs="Times New Roman"/>
          <w:lang w:val="hr-HR"/>
        </w:rPr>
        <w:t>, projekcija rasta BDP-a u ovom makroekonomskom okviru korigirana je blago naniže u svim godinama projekcijskog razdoblja</w:t>
      </w:r>
      <w:r w:rsidR="008607FB" w:rsidRPr="004259D0">
        <w:rPr>
          <w:rFonts w:eastAsia="Times New Roman" w:cs="Times New Roman"/>
          <w:lang w:val="hr-HR"/>
        </w:rPr>
        <w:t>, a ponajviše u 2019.</w:t>
      </w:r>
      <w:r w:rsidRPr="004259D0">
        <w:rPr>
          <w:rFonts w:eastAsia="Times New Roman" w:cs="Times New Roman"/>
          <w:lang w:val="hr-HR"/>
        </w:rPr>
        <w:t xml:space="preserve"> Navedena negativna korekcija </w:t>
      </w:r>
      <w:r w:rsidR="00FA076F" w:rsidRPr="004259D0">
        <w:rPr>
          <w:rFonts w:eastAsia="Times New Roman" w:cs="Times New Roman"/>
          <w:lang w:val="hr-HR"/>
        </w:rPr>
        <w:t xml:space="preserve">prvenstveno je </w:t>
      </w:r>
      <w:r w:rsidRPr="004259D0">
        <w:rPr>
          <w:rFonts w:eastAsia="Times New Roman" w:cs="Times New Roman"/>
          <w:lang w:val="hr-HR"/>
        </w:rPr>
        <w:t xml:space="preserve">posljedica </w:t>
      </w:r>
      <w:r w:rsidR="00A012EC" w:rsidRPr="004259D0">
        <w:rPr>
          <w:rFonts w:eastAsia="Times New Roman" w:cs="Times New Roman"/>
          <w:lang w:val="hr-HR"/>
        </w:rPr>
        <w:t>nepovoljn</w:t>
      </w:r>
      <w:r w:rsidR="008607FB" w:rsidRPr="004259D0">
        <w:rPr>
          <w:rFonts w:eastAsia="Times New Roman" w:cs="Times New Roman"/>
          <w:lang w:val="hr-HR"/>
        </w:rPr>
        <w:t>ijih os</w:t>
      </w:r>
      <w:r w:rsidR="00A012EC" w:rsidRPr="004259D0">
        <w:rPr>
          <w:rFonts w:eastAsia="Times New Roman" w:cs="Times New Roman"/>
          <w:lang w:val="hr-HR"/>
        </w:rPr>
        <w:t>tvarenja 2018.</w:t>
      </w:r>
      <w:r w:rsidR="000D0C61" w:rsidRPr="004259D0">
        <w:rPr>
          <w:rFonts w:eastAsia="Times New Roman" w:cs="Times New Roman"/>
          <w:lang w:val="hr-HR"/>
        </w:rPr>
        <w:t xml:space="preserve"> u domaćem gospodarstvu</w:t>
      </w:r>
      <w:r w:rsidR="00A012EC" w:rsidRPr="004259D0">
        <w:rPr>
          <w:rFonts w:eastAsia="Times New Roman" w:cs="Times New Roman"/>
          <w:lang w:val="hr-HR"/>
        </w:rPr>
        <w:t>, i to</w:t>
      </w:r>
      <w:r w:rsidR="008607FB" w:rsidRPr="004259D0">
        <w:rPr>
          <w:rFonts w:eastAsia="Times New Roman" w:cs="Times New Roman"/>
          <w:lang w:val="hr-HR"/>
        </w:rPr>
        <w:t xml:space="preserve"> </w:t>
      </w:r>
      <w:r w:rsidR="00A012EC" w:rsidRPr="004259D0">
        <w:rPr>
          <w:rFonts w:eastAsia="Times New Roman" w:cs="Times New Roman"/>
          <w:lang w:val="hr-HR"/>
        </w:rPr>
        <w:t>ponajviše</w:t>
      </w:r>
      <w:r w:rsidR="008607FB" w:rsidRPr="004259D0">
        <w:rPr>
          <w:rFonts w:eastAsia="Times New Roman" w:cs="Times New Roman"/>
          <w:lang w:val="hr-HR"/>
        </w:rPr>
        <w:t xml:space="preserve"> izvoza roba </w:t>
      </w:r>
      <w:r w:rsidR="00FA076F" w:rsidRPr="004259D0">
        <w:rPr>
          <w:rFonts w:eastAsia="Times New Roman" w:cs="Times New Roman"/>
          <w:lang w:val="hr-HR"/>
        </w:rPr>
        <w:t>te privatnih investicija</w:t>
      </w:r>
      <w:r w:rsidR="008607FB" w:rsidRPr="004259D0">
        <w:rPr>
          <w:rFonts w:eastAsia="Times New Roman" w:cs="Times New Roman"/>
          <w:lang w:val="hr-HR"/>
        </w:rPr>
        <w:t xml:space="preserve">, </w:t>
      </w:r>
      <w:r w:rsidR="00FA076F" w:rsidRPr="004259D0">
        <w:rPr>
          <w:rFonts w:eastAsia="Times New Roman" w:cs="Times New Roman"/>
          <w:lang w:val="hr-HR"/>
        </w:rPr>
        <w:t>te</w:t>
      </w:r>
      <w:r w:rsidR="000D0C61" w:rsidRPr="004259D0">
        <w:rPr>
          <w:rFonts w:eastAsia="Times New Roman" w:cs="Times New Roman"/>
          <w:lang w:val="hr-HR"/>
        </w:rPr>
        <w:t xml:space="preserve"> ispravka naniže očekivanja dinamike inozemne potražnje</w:t>
      </w:r>
      <w:r w:rsidR="00FD6342" w:rsidRPr="004259D0">
        <w:rPr>
          <w:rFonts w:eastAsia="Times New Roman" w:cs="Times New Roman"/>
          <w:lang w:val="hr-HR"/>
        </w:rPr>
        <w:t xml:space="preserve"> za robama i uslugama</w:t>
      </w:r>
      <w:r w:rsidR="000D0C61" w:rsidRPr="004259D0">
        <w:rPr>
          <w:rFonts w:eastAsia="Times New Roman" w:cs="Times New Roman"/>
          <w:lang w:val="hr-HR"/>
        </w:rPr>
        <w:t xml:space="preserve">, </w:t>
      </w:r>
      <w:r w:rsidR="00FA076F" w:rsidRPr="004259D0">
        <w:rPr>
          <w:rFonts w:eastAsia="Times New Roman" w:cs="Times New Roman"/>
          <w:lang w:val="hr-HR"/>
        </w:rPr>
        <w:t>kao i</w:t>
      </w:r>
      <w:r w:rsidR="000D0C61" w:rsidRPr="004259D0">
        <w:rPr>
          <w:rFonts w:eastAsia="Times New Roman" w:cs="Times New Roman"/>
          <w:lang w:val="hr-HR"/>
        </w:rPr>
        <w:t xml:space="preserve"> svjetske trgovine. </w:t>
      </w:r>
      <w:r w:rsidR="00FA076F" w:rsidRPr="004259D0">
        <w:rPr>
          <w:rFonts w:eastAsia="Times New Roman" w:cs="Times New Roman"/>
          <w:lang w:val="hr-HR"/>
        </w:rPr>
        <w:t>Tako</w:t>
      </w:r>
      <w:r w:rsidRPr="004259D0">
        <w:rPr>
          <w:rFonts w:eastAsia="Times New Roman" w:cs="Times New Roman"/>
          <w:lang w:val="hr-HR"/>
        </w:rPr>
        <w:t xml:space="preserve"> je</w:t>
      </w:r>
      <w:r w:rsidR="008607FB" w:rsidRPr="004259D0">
        <w:rPr>
          <w:rFonts w:eastAsia="Times New Roman" w:cs="Times New Roman"/>
          <w:lang w:val="hr-HR"/>
        </w:rPr>
        <w:t>, promatrano prema doprinosima rastu BDP-a,</w:t>
      </w:r>
      <w:r w:rsidRPr="004259D0">
        <w:rPr>
          <w:rFonts w:eastAsia="Times New Roman" w:cs="Times New Roman"/>
          <w:lang w:val="hr-HR"/>
        </w:rPr>
        <w:t xml:space="preserve"> najveća korekcija naniže izvršena kod projekcije izvoza roba i usluga u svim godinama projekcijskog razdoblja</w:t>
      </w:r>
      <w:r w:rsidR="008607FB" w:rsidRPr="004259D0">
        <w:rPr>
          <w:rFonts w:eastAsia="Times New Roman" w:cs="Times New Roman"/>
          <w:lang w:val="hr-HR"/>
        </w:rPr>
        <w:t>, a posebno u prvoj</w:t>
      </w:r>
      <w:r w:rsidR="003465C2" w:rsidRPr="004259D0">
        <w:rPr>
          <w:rFonts w:eastAsia="Times New Roman" w:cs="Times New Roman"/>
          <w:lang w:val="hr-HR"/>
        </w:rPr>
        <w:t>, pod utjecajem znatnog slabljenja očekivane dinamike izvoza roba te blagog slabljenja dinamike izvoza usluga</w:t>
      </w:r>
      <w:r w:rsidRPr="004259D0">
        <w:rPr>
          <w:rFonts w:eastAsia="Times New Roman" w:cs="Times New Roman"/>
          <w:lang w:val="hr-HR"/>
        </w:rPr>
        <w:t xml:space="preserve">. </w:t>
      </w:r>
      <w:r w:rsidR="004E4080" w:rsidRPr="004259D0">
        <w:rPr>
          <w:rFonts w:eastAsia="Times New Roman" w:cs="Times New Roman"/>
          <w:lang w:val="hr-HR"/>
        </w:rPr>
        <w:t xml:space="preserve">Ovdje treba istaknuti kako je </w:t>
      </w:r>
      <w:r w:rsidR="00611610" w:rsidRPr="004259D0">
        <w:rPr>
          <w:rFonts w:eastAsia="Times New Roman" w:cs="Times New Roman"/>
          <w:lang w:val="hr-HR"/>
        </w:rPr>
        <w:t>korekciji</w:t>
      </w:r>
      <w:r w:rsidR="004E4080" w:rsidRPr="004259D0">
        <w:rPr>
          <w:rFonts w:eastAsia="Times New Roman" w:cs="Times New Roman"/>
          <w:lang w:val="hr-HR"/>
        </w:rPr>
        <w:t xml:space="preserve"> projekcije izvoza roba u srednjem roku, osim </w:t>
      </w:r>
      <w:r w:rsidR="00611610" w:rsidRPr="004259D0">
        <w:rPr>
          <w:rFonts w:eastAsia="Times New Roman" w:cs="Times New Roman"/>
          <w:lang w:val="hr-HR"/>
        </w:rPr>
        <w:t>nepovoljnog</w:t>
      </w:r>
      <w:r w:rsidR="00F510D3" w:rsidRPr="004259D0">
        <w:rPr>
          <w:rFonts w:eastAsia="Times New Roman" w:cs="Times New Roman"/>
          <w:lang w:val="hr-HR"/>
        </w:rPr>
        <w:t xml:space="preserve"> isprav</w:t>
      </w:r>
      <w:r w:rsidR="00611610" w:rsidRPr="004259D0">
        <w:rPr>
          <w:rFonts w:eastAsia="Times New Roman" w:cs="Times New Roman"/>
          <w:lang w:val="hr-HR"/>
        </w:rPr>
        <w:t>ka</w:t>
      </w:r>
      <w:r w:rsidR="00F510D3" w:rsidRPr="004259D0">
        <w:rPr>
          <w:rFonts w:eastAsia="Times New Roman" w:cs="Times New Roman"/>
          <w:lang w:val="hr-HR"/>
        </w:rPr>
        <w:t xml:space="preserve"> putanje inozemne potražnje</w:t>
      </w:r>
      <w:r w:rsidR="00611610" w:rsidRPr="004259D0">
        <w:rPr>
          <w:rFonts w:eastAsia="Times New Roman" w:cs="Times New Roman"/>
          <w:lang w:val="hr-HR"/>
        </w:rPr>
        <w:t xml:space="preserve"> za domaćim robama</w:t>
      </w:r>
      <w:r w:rsidR="00F510D3" w:rsidRPr="004259D0">
        <w:rPr>
          <w:rFonts w:eastAsia="Times New Roman" w:cs="Times New Roman"/>
          <w:lang w:val="hr-HR"/>
        </w:rPr>
        <w:t xml:space="preserve">, u znatnoj mjeri pridonijela i korekcija naniže dinamike promjena udjela domaćeg robnog izvoza na </w:t>
      </w:r>
      <w:r w:rsidR="00611610" w:rsidRPr="004259D0">
        <w:rPr>
          <w:rFonts w:eastAsia="Times New Roman" w:cs="Times New Roman"/>
          <w:lang w:val="hr-HR"/>
        </w:rPr>
        <w:t xml:space="preserve">hrvatskim </w:t>
      </w:r>
      <w:r w:rsidR="00F510D3" w:rsidRPr="004259D0">
        <w:rPr>
          <w:rFonts w:eastAsia="Times New Roman" w:cs="Times New Roman"/>
          <w:lang w:val="hr-HR"/>
        </w:rPr>
        <w:t>emitivnim tržištima za koju se ipak i dalje očekuje ostvarenje pozitivnih stopa, iako</w:t>
      </w:r>
      <w:r w:rsidR="00611610" w:rsidRPr="004259D0">
        <w:rPr>
          <w:rFonts w:eastAsia="Times New Roman" w:cs="Times New Roman"/>
          <w:lang w:val="hr-HR"/>
        </w:rPr>
        <w:t xml:space="preserve"> sada</w:t>
      </w:r>
      <w:r w:rsidR="00F510D3" w:rsidRPr="004259D0">
        <w:rPr>
          <w:rFonts w:eastAsia="Times New Roman" w:cs="Times New Roman"/>
          <w:lang w:val="hr-HR"/>
        </w:rPr>
        <w:t xml:space="preserve"> neznatnih, krajem </w:t>
      </w:r>
      <w:r w:rsidR="00611610" w:rsidRPr="004259D0">
        <w:rPr>
          <w:rFonts w:eastAsia="Times New Roman" w:cs="Times New Roman"/>
          <w:lang w:val="hr-HR"/>
        </w:rPr>
        <w:t xml:space="preserve">promatranog </w:t>
      </w:r>
      <w:r w:rsidR="00F510D3" w:rsidRPr="004259D0">
        <w:rPr>
          <w:rFonts w:eastAsia="Times New Roman" w:cs="Times New Roman"/>
          <w:lang w:val="hr-HR"/>
        </w:rPr>
        <w:t>razdoblja.</w:t>
      </w:r>
      <w:r w:rsidR="00611610" w:rsidRPr="004259D0">
        <w:rPr>
          <w:rFonts w:eastAsia="Times New Roman" w:cs="Times New Roman"/>
          <w:lang w:val="hr-HR"/>
        </w:rPr>
        <w:t xml:space="preserve"> S druge strane, kod ispravka naniže projicirane putanje izvoza usluga</w:t>
      </w:r>
      <w:r w:rsidR="004A6588" w:rsidRPr="004259D0">
        <w:rPr>
          <w:rFonts w:eastAsia="Times New Roman" w:cs="Times New Roman"/>
          <w:lang w:val="hr-HR"/>
        </w:rPr>
        <w:t xml:space="preserve"> u odnosu na zadnj</w:t>
      </w:r>
      <w:r w:rsidR="00E7088D" w:rsidRPr="004259D0">
        <w:rPr>
          <w:rFonts w:eastAsia="Times New Roman" w:cs="Times New Roman"/>
          <w:lang w:val="hr-HR"/>
        </w:rPr>
        <w:t>e</w:t>
      </w:r>
      <w:r w:rsidR="004A6588" w:rsidRPr="004259D0">
        <w:rPr>
          <w:rFonts w:eastAsia="Times New Roman" w:cs="Times New Roman"/>
          <w:lang w:val="hr-HR"/>
        </w:rPr>
        <w:t xml:space="preserve"> projekcije</w:t>
      </w:r>
      <w:r w:rsidR="00611610" w:rsidRPr="004259D0">
        <w:rPr>
          <w:rFonts w:eastAsia="Times New Roman" w:cs="Times New Roman"/>
          <w:lang w:val="hr-HR"/>
        </w:rPr>
        <w:t xml:space="preserve">, dominantnu ulogu je imala korekcija inozemne turističke potražnje za domaćim uslugama. </w:t>
      </w:r>
      <w:r w:rsidR="008607FB" w:rsidRPr="004259D0">
        <w:rPr>
          <w:rFonts w:eastAsia="Times New Roman" w:cs="Times New Roman"/>
          <w:lang w:val="hr-HR"/>
        </w:rPr>
        <w:t>U manjoj mjeri je n</w:t>
      </w:r>
      <w:r w:rsidRPr="004259D0">
        <w:rPr>
          <w:rFonts w:eastAsia="Times New Roman" w:cs="Times New Roman"/>
          <w:lang w:val="hr-HR"/>
        </w:rPr>
        <w:t>aniže korigiran</w:t>
      </w:r>
      <w:r w:rsidR="004E4080" w:rsidRPr="004259D0">
        <w:rPr>
          <w:rFonts w:eastAsia="Times New Roman" w:cs="Times New Roman"/>
          <w:lang w:val="hr-HR"/>
        </w:rPr>
        <w:t>a</w:t>
      </w:r>
      <w:r w:rsidRPr="004259D0">
        <w:rPr>
          <w:rFonts w:eastAsia="Times New Roman" w:cs="Times New Roman"/>
          <w:lang w:val="hr-HR"/>
        </w:rPr>
        <w:t xml:space="preserve"> i </w:t>
      </w:r>
      <w:r w:rsidR="004E4080" w:rsidRPr="004259D0">
        <w:rPr>
          <w:rFonts w:eastAsia="Times New Roman" w:cs="Times New Roman"/>
          <w:lang w:val="hr-HR"/>
        </w:rPr>
        <w:t>projekcija doprinosa</w:t>
      </w:r>
      <w:r w:rsidRPr="004259D0">
        <w:rPr>
          <w:rFonts w:eastAsia="Times New Roman" w:cs="Times New Roman"/>
          <w:lang w:val="hr-HR"/>
        </w:rPr>
        <w:t xml:space="preserve"> bruto investicija u fiksni kapital, naročito u 2020. i 2021. godini, </w:t>
      </w:r>
      <w:r w:rsidR="00711F11" w:rsidRPr="004259D0">
        <w:rPr>
          <w:rFonts w:eastAsia="Times New Roman" w:cs="Times New Roman"/>
          <w:lang w:val="hr-HR"/>
        </w:rPr>
        <w:t xml:space="preserve">prvenstveno </w:t>
      </w:r>
      <w:r w:rsidR="008607FB" w:rsidRPr="004259D0">
        <w:rPr>
          <w:rFonts w:eastAsia="Times New Roman" w:cs="Times New Roman"/>
          <w:lang w:val="hr-HR"/>
        </w:rPr>
        <w:t>kao posljedica ispravka naniže dinamike investicija privatnog sektora</w:t>
      </w:r>
      <w:r w:rsidR="005A6C61" w:rsidRPr="004259D0">
        <w:rPr>
          <w:rFonts w:eastAsia="Times New Roman" w:cs="Times New Roman"/>
          <w:lang w:val="hr-HR"/>
        </w:rPr>
        <w:t>, u uvjetima</w:t>
      </w:r>
      <w:r w:rsidR="00711F11" w:rsidRPr="004259D0">
        <w:rPr>
          <w:rFonts w:eastAsia="Times New Roman" w:cs="Times New Roman"/>
          <w:lang w:val="hr-HR"/>
        </w:rPr>
        <w:t xml:space="preserve"> slabijih ostvarenja u odnosu na ranija očekivanja,</w:t>
      </w:r>
      <w:r w:rsidR="005A6C61" w:rsidRPr="004259D0">
        <w:rPr>
          <w:rFonts w:eastAsia="Times New Roman" w:cs="Times New Roman"/>
          <w:lang w:val="hr-HR"/>
        </w:rPr>
        <w:t xml:space="preserve"> sporijeg rasta BDP-a nego </w:t>
      </w:r>
      <w:r w:rsidR="00711F11" w:rsidRPr="004259D0">
        <w:rPr>
          <w:rFonts w:eastAsia="Times New Roman" w:cs="Times New Roman"/>
          <w:lang w:val="hr-HR"/>
        </w:rPr>
        <w:t>u prijašnjem razdoblju</w:t>
      </w:r>
      <w:r w:rsidR="005A6C61" w:rsidRPr="004259D0">
        <w:rPr>
          <w:rFonts w:eastAsia="Times New Roman" w:cs="Times New Roman"/>
          <w:lang w:val="hr-HR"/>
        </w:rPr>
        <w:t xml:space="preserve"> te lošijih očekivanja o kretanju buduće potražnje</w:t>
      </w:r>
      <w:r w:rsidR="008607FB" w:rsidRPr="004259D0">
        <w:rPr>
          <w:rFonts w:eastAsia="Times New Roman" w:cs="Times New Roman"/>
          <w:lang w:val="hr-HR"/>
        </w:rPr>
        <w:t xml:space="preserve">. </w:t>
      </w:r>
      <w:r w:rsidR="003465C2" w:rsidRPr="004259D0">
        <w:rPr>
          <w:rFonts w:eastAsia="Times New Roman" w:cs="Times New Roman"/>
          <w:lang w:val="hr-HR"/>
        </w:rPr>
        <w:t xml:space="preserve">S druge strane, dinamika investicija javnog sektora ubrzana je u 2019. i 2020. godini pod utjecajem očekivanja </w:t>
      </w:r>
      <w:r w:rsidR="00407C30" w:rsidRPr="004259D0">
        <w:rPr>
          <w:rFonts w:eastAsia="Times New Roman" w:cs="Times New Roman"/>
          <w:lang w:val="hr-HR"/>
        </w:rPr>
        <w:t xml:space="preserve">intenzivnijeg </w:t>
      </w:r>
      <w:r w:rsidR="003465C2" w:rsidRPr="004259D0">
        <w:rPr>
          <w:rFonts w:eastAsia="Times New Roman" w:cs="Times New Roman"/>
          <w:lang w:val="hr-HR"/>
        </w:rPr>
        <w:t xml:space="preserve">priljeva kapitalnih EU fondova. </w:t>
      </w:r>
      <w:r w:rsidR="008607FB" w:rsidRPr="004259D0">
        <w:rPr>
          <w:rFonts w:eastAsia="Times New Roman" w:cs="Times New Roman"/>
          <w:lang w:val="hr-HR"/>
        </w:rPr>
        <w:t>N</w:t>
      </w:r>
      <w:r w:rsidRPr="004259D0">
        <w:rPr>
          <w:rFonts w:eastAsia="Times New Roman" w:cs="Times New Roman"/>
          <w:lang w:val="hr-HR"/>
        </w:rPr>
        <w:t xml:space="preserve">asuprot </w:t>
      </w:r>
      <w:r w:rsidR="003465C2" w:rsidRPr="004259D0">
        <w:rPr>
          <w:rFonts w:eastAsia="Times New Roman" w:cs="Times New Roman"/>
          <w:lang w:val="hr-HR"/>
        </w:rPr>
        <w:t>izvozu i investicijama</w:t>
      </w:r>
      <w:r w:rsidRPr="004259D0">
        <w:rPr>
          <w:rFonts w:eastAsia="Times New Roman" w:cs="Times New Roman"/>
          <w:lang w:val="hr-HR"/>
        </w:rPr>
        <w:t xml:space="preserve">, projekcija rasta osobne potrošnje korigirana </w:t>
      </w:r>
      <w:r w:rsidR="0043270A" w:rsidRPr="004259D0">
        <w:rPr>
          <w:rFonts w:eastAsia="Times New Roman" w:cs="Times New Roman"/>
          <w:lang w:val="hr-HR"/>
        </w:rPr>
        <w:t xml:space="preserve">je </w:t>
      </w:r>
      <w:r w:rsidRPr="004259D0">
        <w:rPr>
          <w:rFonts w:eastAsia="Times New Roman" w:cs="Times New Roman"/>
          <w:lang w:val="hr-HR"/>
        </w:rPr>
        <w:t>blago naviše u cijelom razdoblju</w:t>
      </w:r>
      <w:r w:rsidR="0043270A" w:rsidRPr="004259D0">
        <w:rPr>
          <w:rFonts w:eastAsia="Times New Roman" w:cs="Times New Roman"/>
          <w:lang w:val="hr-HR"/>
        </w:rPr>
        <w:t xml:space="preserve"> uslijed </w:t>
      </w:r>
      <w:r w:rsidR="003E050E" w:rsidRPr="004259D0">
        <w:rPr>
          <w:rFonts w:eastAsia="Times New Roman" w:cs="Times New Roman"/>
          <w:lang w:val="hr-HR"/>
        </w:rPr>
        <w:t>povolj</w:t>
      </w:r>
      <w:r w:rsidR="00A55F1D" w:rsidRPr="004259D0">
        <w:rPr>
          <w:rFonts w:eastAsia="Times New Roman" w:cs="Times New Roman"/>
          <w:lang w:val="hr-HR"/>
        </w:rPr>
        <w:t>nih</w:t>
      </w:r>
      <w:r w:rsidR="0043270A" w:rsidRPr="004259D0">
        <w:rPr>
          <w:rFonts w:eastAsia="Times New Roman" w:cs="Times New Roman"/>
          <w:lang w:val="hr-HR"/>
        </w:rPr>
        <w:t xml:space="preserve"> ostvarenja s kraja 2018., niže </w:t>
      </w:r>
      <w:r w:rsidR="00611610" w:rsidRPr="004259D0">
        <w:rPr>
          <w:rFonts w:eastAsia="Times New Roman" w:cs="Times New Roman"/>
          <w:lang w:val="hr-HR"/>
        </w:rPr>
        <w:t xml:space="preserve">očekivane </w:t>
      </w:r>
      <w:r w:rsidR="0043270A" w:rsidRPr="004259D0">
        <w:rPr>
          <w:rFonts w:eastAsia="Times New Roman" w:cs="Times New Roman"/>
          <w:lang w:val="hr-HR"/>
        </w:rPr>
        <w:t xml:space="preserve">inflacije </w:t>
      </w:r>
      <w:r w:rsidR="00A55F1D" w:rsidRPr="004259D0">
        <w:rPr>
          <w:rFonts w:eastAsia="Times New Roman" w:cs="Times New Roman"/>
          <w:lang w:val="hr-HR"/>
        </w:rPr>
        <w:t xml:space="preserve">u čitavom razdoblju, a posebno </w:t>
      </w:r>
      <w:r w:rsidR="0043270A" w:rsidRPr="004259D0">
        <w:rPr>
          <w:rFonts w:eastAsia="Times New Roman" w:cs="Times New Roman"/>
          <w:lang w:val="hr-HR"/>
        </w:rPr>
        <w:t>u 2019.</w:t>
      </w:r>
      <w:r w:rsidR="00A55F1D" w:rsidRPr="004259D0">
        <w:rPr>
          <w:rFonts w:eastAsia="Times New Roman" w:cs="Times New Roman"/>
          <w:lang w:val="hr-HR"/>
        </w:rPr>
        <w:t>,</w:t>
      </w:r>
      <w:r w:rsidR="0043270A" w:rsidRPr="004259D0">
        <w:rPr>
          <w:rFonts w:eastAsia="Times New Roman" w:cs="Times New Roman"/>
          <w:lang w:val="hr-HR"/>
        </w:rPr>
        <w:t xml:space="preserve"> te </w:t>
      </w:r>
      <w:r w:rsidR="003E050E" w:rsidRPr="004259D0">
        <w:rPr>
          <w:rFonts w:eastAsia="Times New Roman" w:cs="Times New Roman"/>
          <w:lang w:val="hr-HR"/>
        </w:rPr>
        <w:t>blagog</w:t>
      </w:r>
      <w:r w:rsidR="0043270A" w:rsidRPr="004259D0">
        <w:rPr>
          <w:rFonts w:eastAsia="Times New Roman" w:cs="Times New Roman"/>
          <w:lang w:val="hr-HR"/>
        </w:rPr>
        <w:t xml:space="preserve"> ubrzanja dinamike </w:t>
      </w:r>
      <w:r w:rsidR="00A55F1D" w:rsidRPr="004259D0">
        <w:rPr>
          <w:rFonts w:eastAsia="Times New Roman" w:cs="Times New Roman"/>
          <w:lang w:val="hr-HR"/>
        </w:rPr>
        <w:t>naknada zaposlenicima</w:t>
      </w:r>
      <w:r w:rsidR="0043270A" w:rsidRPr="004259D0">
        <w:rPr>
          <w:rFonts w:eastAsia="Times New Roman" w:cs="Times New Roman"/>
          <w:lang w:val="hr-HR"/>
        </w:rPr>
        <w:t xml:space="preserve"> </w:t>
      </w:r>
      <w:r w:rsidR="00A55F1D" w:rsidRPr="004259D0">
        <w:rPr>
          <w:rFonts w:eastAsia="Times New Roman" w:cs="Times New Roman"/>
          <w:lang w:val="hr-HR"/>
        </w:rPr>
        <w:t xml:space="preserve">prema kraju promatranog </w:t>
      </w:r>
      <w:r w:rsidR="0043270A" w:rsidRPr="004259D0">
        <w:rPr>
          <w:rFonts w:eastAsia="Times New Roman" w:cs="Times New Roman"/>
          <w:lang w:val="hr-HR"/>
        </w:rPr>
        <w:t>r</w:t>
      </w:r>
      <w:r w:rsidR="00A55F1D" w:rsidRPr="004259D0">
        <w:rPr>
          <w:rFonts w:eastAsia="Times New Roman" w:cs="Times New Roman"/>
          <w:lang w:val="hr-HR"/>
        </w:rPr>
        <w:t>azdoblja</w:t>
      </w:r>
      <w:r w:rsidRPr="004259D0">
        <w:rPr>
          <w:rFonts w:eastAsia="Times New Roman" w:cs="Times New Roman"/>
          <w:lang w:val="hr-HR"/>
        </w:rPr>
        <w:t xml:space="preserve">. U skladu s nižim rastom konačne potražnje, </w:t>
      </w:r>
      <w:r w:rsidR="005A6C61" w:rsidRPr="004259D0">
        <w:rPr>
          <w:rFonts w:eastAsia="Times New Roman" w:cs="Times New Roman"/>
          <w:lang w:val="hr-HR"/>
        </w:rPr>
        <w:t>a naročito izvoza roba i usluga</w:t>
      </w:r>
      <w:r w:rsidR="005E10AA" w:rsidRPr="004259D0">
        <w:rPr>
          <w:rFonts w:eastAsia="Times New Roman" w:cs="Times New Roman"/>
          <w:lang w:val="hr-HR"/>
        </w:rPr>
        <w:t xml:space="preserve"> te investicija koje karakteriziraju najizraženiji udjeli uvozne komponente</w:t>
      </w:r>
      <w:r w:rsidR="005A6C61" w:rsidRPr="004259D0">
        <w:rPr>
          <w:rFonts w:eastAsia="Times New Roman" w:cs="Times New Roman"/>
          <w:lang w:val="hr-HR"/>
        </w:rPr>
        <w:t xml:space="preserve">, </w:t>
      </w:r>
      <w:r w:rsidRPr="004259D0">
        <w:rPr>
          <w:rFonts w:eastAsia="Times New Roman" w:cs="Times New Roman"/>
          <w:lang w:val="hr-HR"/>
        </w:rPr>
        <w:t>rast uvoza roba i usluga korigiran je blago naniže u cijelom projekcijskom razdoblju</w:t>
      </w:r>
      <w:r w:rsidR="0043270A" w:rsidRPr="004259D0">
        <w:rPr>
          <w:rFonts w:eastAsia="Times New Roman" w:cs="Times New Roman"/>
          <w:lang w:val="hr-HR"/>
        </w:rPr>
        <w:t xml:space="preserve">, </w:t>
      </w:r>
      <w:r w:rsidR="005E10AA" w:rsidRPr="004259D0">
        <w:rPr>
          <w:rFonts w:eastAsia="Times New Roman" w:cs="Times New Roman"/>
          <w:lang w:val="hr-HR"/>
        </w:rPr>
        <w:t>a posebno</w:t>
      </w:r>
      <w:r w:rsidR="0043270A" w:rsidRPr="004259D0">
        <w:rPr>
          <w:rFonts w:eastAsia="Times New Roman" w:cs="Times New Roman"/>
          <w:lang w:val="hr-HR"/>
        </w:rPr>
        <w:t xml:space="preserve"> u 2019</w:t>
      </w:r>
      <w:r w:rsidRPr="004259D0">
        <w:rPr>
          <w:rFonts w:eastAsia="Times New Roman" w:cs="Times New Roman"/>
          <w:lang w:val="hr-HR"/>
        </w:rPr>
        <w:t xml:space="preserve">. </w:t>
      </w:r>
      <w:r w:rsidR="005E10AA" w:rsidRPr="004259D0">
        <w:rPr>
          <w:rFonts w:eastAsia="Times New Roman" w:cs="Times New Roman"/>
          <w:lang w:val="hr-HR"/>
        </w:rPr>
        <w:t>Projekcija doprinosa</w:t>
      </w:r>
      <w:r w:rsidRPr="004259D0">
        <w:rPr>
          <w:rFonts w:eastAsia="Times New Roman" w:cs="Times New Roman"/>
          <w:lang w:val="hr-HR"/>
        </w:rPr>
        <w:t xml:space="preserve"> državne potrošnje </w:t>
      </w:r>
      <w:r w:rsidR="005E10AA" w:rsidRPr="004259D0">
        <w:rPr>
          <w:rFonts w:eastAsia="Times New Roman" w:cs="Times New Roman"/>
          <w:lang w:val="hr-HR"/>
        </w:rPr>
        <w:t xml:space="preserve">gospodarskom rastu </w:t>
      </w:r>
      <w:r w:rsidRPr="004259D0">
        <w:rPr>
          <w:rFonts w:eastAsia="Times New Roman" w:cs="Times New Roman"/>
          <w:lang w:val="hr-HR"/>
        </w:rPr>
        <w:t xml:space="preserve">nije </w:t>
      </w:r>
      <w:r w:rsidR="005E10AA" w:rsidRPr="004259D0">
        <w:rPr>
          <w:rFonts w:eastAsia="Times New Roman" w:cs="Times New Roman"/>
          <w:lang w:val="hr-HR"/>
        </w:rPr>
        <w:t>znatnije</w:t>
      </w:r>
      <w:r w:rsidRPr="004259D0">
        <w:rPr>
          <w:rFonts w:eastAsia="Times New Roman" w:cs="Times New Roman"/>
          <w:lang w:val="hr-HR"/>
        </w:rPr>
        <w:t xml:space="preserve"> mijenjana u odnosu na posljednje projekcije.  </w:t>
      </w:r>
    </w:p>
    <w:p w14:paraId="5DB109D3" w14:textId="5D9DD6AB" w:rsidR="00EA7E21" w:rsidRPr="004259D0" w:rsidRDefault="00172602" w:rsidP="00172602">
      <w:pPr>
        <w:jc w:val="both"/>
        <w:rPr>
          <w:rFonts w:eastAsia="Times New Roman" w:cs="Times New Roman"/>
          <w:color w:val="000000"/>
          <w:shd w:val="clear" w:color="auto" w:fill="FFFFFF"/>
          <w:lang w:val="hr-HR" w:eastAsia="hr-HR"/>
        </w:rPr>
      </w:pPr>
      <w:r w:rsidRPr="004259D0">
        <w:rPr>
          <w:rFonts w:eastAsia="Times New Roman" w:cs="Times New Roman"/>
          <w:lang w:val="hr-HR"/>
        </w:rPr>
        <w:t xml:space="preserve">Osobna potrošnja bit će glavni pokretač rasta domaće potražnje u srednjoročnom razdoblju, ali i ukupnog gospodarskog rasta u prve dvije godine, unatoč njenoj blago usporavajućoj dinamici koja odražava </w:t>
      </w:r>
      <w:r w:rsidR="00E31AB1" w:rsidRPr="004259D0">
        <w:rPr>
          <w:rFonts w:eastAsia="Times New Roman" w:cs="Times New Roman"/>
          <w:lang w:val="hr-HR"/>
        </w:rPr>
        <w:t xml:space="preserve">projicirano </w:t>
      </w:r>
      <w:r w:rsidRPr="004259D0">
        <w:rPr>
          <w:rFonts w:eastAsia="Times New Roman" w:cs="Times New Roman"/>
          <w:lang w:val="hr-HR"/>
        </w:rPr>
        <w:t xml:space="preserve">kretanje raspoloživog dohotka kućanstava. Predviđa se da će rast osobne potrošnje u 2019. godini </w:t>
      </w:r>
      <w:r w:rsidR="00E7088D" w:rsidRPr="004259D0">
        <w:rPr>
          <w:rFonts w:eastAsia="Times New Roman" w:cs="Times New Roman"/>
          <w:lang w:val="hr-HR"/>
        </w:rPr>
        <w:t>biti nešto viši</w:t>
      </w:r>
      <w:r w:rsidRPr="004259D0">
        <w:rPr>
          <w:rFonts w:eastAsia="Times New Roman" w:cs="Times New Roman"/>
          <w:lang w:val="hr-HR"/>
        </w:rPr>
        <w:t xml:space="preserve"> u odnosu na 2018., odražavajući </w:t>
      </w:r>
      <w:r w:rsidR="001A1AB1" w:rsidRPr="004259D0">
        <w:rPr>
          <w:rFonts w:eastAsia="Times New Roman" w:cs="Times New Roman"/>
          <w:lang w:val="hr-HR"/>
        </w:rPr>
        <w:t xml:space="preserve">prije svega </w:t>
      </w:r>
      <w:r w:rsidR="00E31AB1" w:rsidRPr="004259D0">
        <w:rPr>
          <w:rFonts w:eastAsia="Times New Roman" w:cs="Times New Roman"/>
          <w:lang w:val="hr-HR"/>
        </w:rPr>
        <w:t xml:space="preserve">blago </w:t>
      </w:r>
      <w:r w:rsidR="00A40B0E" w:rsidRPr="004259D0">
        <w:rPr>
          <w:rFonts w:eastAsia="Times New Roman" w:cs="Times New Roman"/>
          <w:lang w:val="hr-HR"/>
        </w:rPr>
        <w:t xml:space="preserve">ubrzanje realnog rasta raspoloživog dohotka </w:t>
      </w:r>
      <w:r w:rsidR="001A1AB1" w:rsidRPr="004259D0">
        <w:rPr>
          <w:rFonts w:eastAsia="Times New Roman" w:cs="Times New Roman"/>
          <w:lang w:val="hr-HR"/>
        </w:rPr>
        <w:t xml:space="preserve">kućanstava </w:t>
      </w:r>
      <w:r w:rsidR="00A478FF" w:rsidRPr="004259D0">
        <w:rPr>
          <w:rFonts w:eastAsia="Times New Roman" w:cs="Times New Roman"/>
          <w:lang w:val="hr-HR"/>
        </w:rPr>
        <w:t>uslijed</w:t>
      </w:r>
      <w:r w:rsidR="00A40B0E" w:rsidRPr="004259D0">
        <w:rPr>
          <w:rFonts w:eastAsia="Times New Roman" w:cs="Times New Roman"/>
          <w:lang w:val="hr-HR"/>
        </w:rPr>
        <w:t xml:space="preserve"> </w:t>
      </w:r>
      <w:r w:rsidR="00E31AB1" w:rsidRPr="004259D0">
        <w:rPr>
          <w:rFonts w:eastAsia="Times New Roman" w:cs="Times New Roman"/>
          <w:lang w:val="hr-HR"/>
        </w:rPr>
        <w:t>nastavka</w:t>
      </w:r>
      <w:r w:rsidRPr="004259D0">
        <w:rPr>
          <w:rFonts w:eastAsia="Times New Roman" w:cs="Times New Roman"/>
          <w:lang w:val="hr-HR"/>
        </w:rPr>
        <w:t xml:space="preserve"> povoljn</w:t>
      </w:r>
      <w:r w:rsidR="00A40B0E" w:rsidRPr="004259D0">
        <w:rPr>
          <w:rFonts w:eastAsia="Times New Roman" w:cs="Times New Roman"/>
          <w:lang w:val="hr-HR"/>
        </w:rPr>
        <w:t>ih</w:t>
      </w:r>
      <w:r w:rsidRPr="004259D0">
        <w:rPr>
          <w:rFonts w:eastAsia="Times New Roman" w:cs="Times New Roman"/>
          <w:lang w:val="hr-HR"/>
        </w:rPr>
        <w:t xml:space="preserve"> kretanja na tržištu rada, </w:t>
      </w:r>
      <w:r w:rsidR="001A1AB1" w:rsidRPr="004259D0">
        <w:rPr>
          <w:rFonts w:eastAsia="Times New Roman" w:cs="Times New Roman"/>
          <w:lang w:val="hr-HR"/>
        </w:rPr>
        <w:t>usporavanja</w:t>
      </w:r>
      <w:r w:rsidR="00E31AB1" w:rsidRPr="004259D0">
        <w:rPr>
          <w:rFonts w:eastAsia="Times New Roman" w:cs="Times New Roman"/>
          <w:lang w:val="hr-HR"/>
        </w:rPr>
        <w:t xml:space="preserve"> inflacije potrošačkih cijena </w:t>
      </w:r>
      <w:r w:rsidR="001A1AB1" w:rsidRPr="004259D0">
        <w:rPr>
          <w:rFonts w:eastAsia="Times New Roman" w:cs="Times New Roman"/>
          <w:lang w:val="hr-HR"/>
        </w:rPr>
        <w:t xml:space="preserve">te </w:t>
      </w:r>
      <w:r w:rsidR="00124945" w:rsidRPr="004259D0">
        <w:rPr>
          <w:rFonts w:eastAsia="Times New Roman" w:cs="Times New Roman"/>
          <w:lang w:val="hr-HR"/>
        </w:rPr>
        <w:t>pre</w:t>
      </w:r>
      <w:r w:rsidR="00A478FF" w:rsidRPr="004259D0">
        <w:rPr>
          <w:rFonts w:eastAsia="Times New Roman" w:cs="Times New Roman"/>
          <w:lang w:val="hr-HR"/>
        </w:rPr>
        <w:t>ostal</w:t>
      </w:r>
      <w:r w:rsidR="00341A4E" w:rsidRPr="004259D0">
        <w:rPr>
          <w:rFonts w:eastAsia="Times New Roman" w:cs="Times New Roman"/>
          <w:lang w:val="hr-HR"/>
        </w:rPr>
        <w:t>ih</w:t>
      </w:r>
      <w:r w:rsidR="001A1AB1" w:rsidRPr="004259D0">
        <w:rPr>
          <w:rFonts w:eastAsia="Times New Roman" w:cs="Times New Roman"/>
          <w:lang w:val="hr-HR"/>
        </w:rPr>
        <w:t xml:space="preserve"> </w:t>
      </w:r>
      <w:r w:rsidRPr="004259D0">
        <w:rPr>
          <w:rFonts w:eastAsia="Times New Roman" w:cs="Times New Roman"/>
          <w:lang w:val="hr-HR"/>
        </w:rPr>
        <w:t>pozitivn</w:t>
      </w:r>
      <w:r w:rsidR="00341A4E" w:rsidRPr="004259D0">
        <w:rPr>
          <w:rFonts w:eastAsia="Times New Roman" w:cs="Times New Roman"/>
          <w:lang w:val="hr-HR"/>
        </w:rPr>
        <w:t>ih</w:t>
      </w:r>
      <w:r w:rsidRPr="004259D0">
        <w:rPr>
          <w:rFonts w:eastAsia="Times New Roman" w:cs="Times New Roman"/>
          <w:lang w:val="hr-HR"/>
        </w:rPr>
        <w:t xml:space="preserve"> učin</w:t>
      </w:r>
      <w:r w:rsidR="00341A4E" w:rsidRPr="004259D0">
        <w:rPr>
          <w:rFonts w:eastAsia="Times New Roman" w:cs="Times New Roman"/>
          <w:lang w:val="hr-HR"/>
        </w:rPr>
        <w:t>a</w:t>
      </w:r>
      <w:r w:rsidRPr="004259D0">
        <w:rPr>
          <w:rFonts w:eastAsia="Times New Roman" w:cs="Times New Roman"/>
          <w:lang w:val="hr-HR"/>
        </w:rPr>
        <w:t>k</w:t>
      </w:r>
      <w:r w:rsidR="00341A4E" w:rsidRPr="004259D0">
        <w:rPr>
          <w:rFonts w:eastAsia="Times New Roman" w:cs="Times New Roman"/>
          <w:lang w:val="hr-HR"/>
        </w:rPr>
        <w:t>a</w:t>
      </w:r>
      <w:r w:rsidR="00E31AB1" w:rsidRPr="004259D0">
        <w:rPr>
          <w:rFonts w:eastAsia="Times New Roman" w:cs="Times New Roman"/>
          <w:lang w:val="hr-HR"/>
        </w:rPr>
        <w:t xml:space="preserve"> trećeg kruga porezne reforme</w:t>
      </w:r>
      <w:r w:rsidR="001A1AB1" w:rsidRPr="004259D0">
        <w:rPr>
          <w:rFonts w:eastAsia="Times New Roman" w:cs="Times New Roman"/>
          <w:lang w:val="hr-HR"/>
        </w:rPr>
        <w:t>.</w:t>
      </w:r>
      <w:r w:rsidR="00E31AB1" w:rsidRPr="004259D0">
        <w:rPr>
          <w:rFonts w:eastAsia="Times New Roman" w:cs="Times New Roman"/>
          <w:lang w:val="hr-HR"/>
        </w:rPr>
        <w:t xml:space="preserve"> </w:t>
      </w:r>
      <w:r w:rsidR="001A1AB1" w:rsidRPr="004259D0">
        <w:rPr>
          <w:rFonts w:eastAsia="Times New Roman" w:cs="Times New Roman"/>
          <w:lang w:val="hr-HR"/>
        </w:rPr>
        <w:t>Ovome pridodajmo</w:t>
      </w:r>
      <w:r w:rsidRPr="004259D0">
        <w:rPr>
          <w:rFonts w:eastAsia="Times New Roman" w:cs="Times New Roman"/>
          <w:lang w:val="hr-HR"/>
        </w:rPr>
        <w:t xml:space="preserve"> </w:t>
      </w:r>
      <w:r w:rsidR="001A1AB1" w:rsidRPr="004259D0">
        <w:rPr>
          <w:rFonts w:eastAsia="Times New Roman" w:cs="Times New Roman"/>
          <w:lang w:val="hr-HR"/>
        </w:rPr>
        <w:t xml:space="preserve">i </w:t>
      </w:r>
      <w:r w:rsidR="00E7088D" w:rsidRPr="004259D0">
        <w:rPr>
          <w:rFonts w:eastAsia="Times New Roman" w:cs="Times New Roman"/>
          <w:lang w:val="hr-HR"/>
        </w:rPr>
        <w:t xml:space="preserve">očekivani </w:t>
      </w:r>
      <w:r w:rsidR="001A1AB1" w:rsidRPr="004259D0">
        <w:rPr>
          <w:rFonts w:eastAsia="Times New Roman" w:cs="Times New Roman"/>
          <w:lang w:val="hr-HR"/>
        </w:rPr>
        <w:t>povoljni učinak na osobnu potrošnju od strane nastav</w:t>
      </w:r>
      <w:r w:rsidRPr="004259D0">
        <w:rPr>
          <w:rFonts w:eastAsia="Times New Roman" w:cs="Times New Roman"/>
          <w:lang w:val="hr-HR"/>
        </w:rPr>
        <w:t>k</w:t>
      </w:r>
      <w:r w:rsidR="001A1AB1" w:rsidRPr="004259D0">
        <w:rPr>
          <w:rFonts w:eastAsia="Times New Roman" w:cs="Times New Roman"/>
          <w:lang w:val="hr-HR"/>
        </w:rPr>
        <w:t>a</w:t>
      </w:r>
      <w:r w:rsidRPr="004259D0">
        <w:rPr>
          <w:rFonts w:eastAsia="Times New Roman" w:cs="Times New Roman"/>
          <w:lang w:val="hr-HR"/>
        </w:rPr>
        <w:t xml:space="preserve"> rasta potrošačkih kredita koji </w:t>
      </w:r>
      <w:r w:rsidR="001A1AB1" w:rsidRPr="004259D0">
        <w:rPr>
          <w:rFonts w:eastAsia="Times New Roman" w:cs="Times New Roman"/>
          <w:lang w:val="hr-HR"/>
        </w:rPr>
        <w:t xml:space="preserve">ipak </w:t>
      </w:r>
      <w:r w:rsidRPr="004259D0">
        <w:rPr>
          <w:rFonts w:eastAsia="Times New Roman" w:cs="Times New Roman"/>
          <w:lang w:val="hr-HR"/>
        </w:rPr>
        <w:t xml:space="preserve">neće biti toliko izražen kao u 2018. godini, u uvjetima </w:t>
      </w:r>
      <w:r w:rsidR="001A1AB1" w:rsidRPr="004259D0">
        <w:rPr>
          <w:rFonts w:eastAsia="Times New Roman" w:cs="Times New Roman"/>
          <w:lang w:val="hr-HR"/>
        </w:rPr>
        <w:t xml:space="preserve">zadržavanja indeksa raspoloženja potrošača na visokim razinama, </w:t>
      </w:r>
      <w:r w:rsidR="00EA7E21" w:rsidRPr="004259D0">
        <w:rPr>
          <w:rFonts w:eastAsia="Times New Roman" w:cs="Times New Roman"/>
          <w:lang w:val="hr-HR"/>
        </w:rPr>
        <w:t xml:space="preserve">kao i </w:t>
      </w:r>
      <w:r w:rsidR="001A1AB1" w:rsidRPr="004259D0">
        <w:rPr>
          <w:rFonts w:eastAsia="Times New Roman" w:cs="Times New Roman"/>
          <w:lang w:val="hr-HR"/>
        </w:rPr>
        <w:t>nastavka</w:t>
      </w:r>
      <w:r w:rsidRPr="004259D0">
        <w:rPr>
          <w:rFonts w:eastAsia="Times New Roman" w:cs="Times New Roman"/>
          <w:lang w:val="hr-HR"/>
        </w:rPr>
        <w:t xml:space="preserve"> </w:t>
      </w:r>
      <w:r w:rsidR="001A1AB1" w:rsidRPr="004259D0">
        <w:rPr>
          <w:rFonts w:eastAsia="Times New Roman" w:cs="Times New Roman"/>
          <w:lang w:val="hr-HR"/>
        </w:rPr>
        <w:t xml:space="preserve">razdoblja </w:t>
      </w:r>
      <w:r w:rsidRPr="004259D0">
        <w:rPr>
          <w:rFonts w:eastAsia="Times New Roman" w:cs="Times New Roman"/>
          <w:lang w:val="hr-HR"/>
        </w:rPr>
        <w:t xml:space="preserve">niskih kamatnih stopa koje </w:t>
      </w:r>
      <w:r w:rsidR="001A1AB1" w:rsidRPr="004259D0">
        <w:rPr>
          <w:rFonts w:eastAsia="Times New Roman" w:cs="Times New Roman"/>
          <w:lang w:val="hr-HR"/>
        </w:rPr>
        <w:t xml:space="preserve">dodatno </w:t>
      </w:r>
      <w:r w:rsidRPr="004259D0">
        <w:rPr>
          <w:rFonts w:eastAsia="Times New Roman" w:cs="Times New Roman"/>
          <w:lang w:val="hr-HR"/>
        </w:rPr>
        <w:t>umanjuju teret duga sektora kućanstava</w:t>
      </w:r>
      <w:r w:rsidRPr="004259D0">
        <w:rPr>
          <w:rFonts w:eastAsia="Times New Roman" w:cs="Times New Roman"/>
          <w:color w:val="000000"/>
          <w:shd w:val="clear" w:color="auto" w:fill="FFFFFF"/>
          <w:lang w:val="hr-HR" w:eastAsia="hr-HR"/>
        </w:rPr>
        <w:t xml:space="preserve">. </w:t>
      </w:r>
      <w:r w:rsidR="001A1AB1" w:rsidRPr="004259D0">
        <w:rPr>
          <w:rFonts w:eastAsia="Times New Roman" w:cs="Times New Roman"/>
          <w:color w:val="000000"/>
          <w:shd w:val="clear" w:color="auto" w:fill="FFFFFF"/>
          <w:lang w:val="hr-HR" w:eastAsia="hr-HR"/>
        </w:rPr>
        <w:t xml:space="preserve">Tako se </w:t>
      </w:r>
      <w:r w:rsidR="00B930B5">
        <w:rPr>
          <w:rFonts w:eastAsia="Times New Roman" w:cs="Times New Roman"/>
          <w:color w:val="000000"/>
          <w:shd w:val="clear" w:color="auto" w:fill="FFFFFF"/>
          <w:lang w:val="hr-HR" w:eastAsia="hr-HR"/>
        </w:rPr>
        <w:t xml:space="preserve">u </w:t>
      </w:r>
      <w:r w:rsidR="001A1AB1" w:rsidRPr="004259D0">
        <w:rPr>
          <w:rFonts w:eastAsia="Times New Roman" w:cs="Times New Roman"/>
          <w:color w:val="000000"/>
          <w:shd w:val="clear" w:color="auto" w:fill="FFFFFF"/>
          <w:lang w:val="hr-HR" w:eastAsia="hr-HR"/>
        </w:rPr>
        <w:t xml:space="preserve">nastavku promatranog razdoblja projicira </w:t>
      </w:r>
      <w:r w:rsidR="001A1AB1" w:rsidRPr="004259D0">
        <w:rPr>
          <w:rFonts w:eastAsia="Times New Roman" w:cs="Times New Roman"/>
          <w:lang w:val="hr-HR"/>
        </w:rPr>
        <w:t>usporavanj</w:t>
      </w:r>
      <w:r w:rsidR="006046B3" w:rsidRPr="004259D0">
        <w:rPr>
          <w:rFonts w:eastAsia="Times New Roman" w:cs="Times New Roman"/>
          <w:lang w:val="hr-HR"/>
        </w:rPr>
        <w:t>e</w:t>
      </w:r>
      <w:r w:rsidR="001A1AB1" w:rsidRPr="004259D0">
        <w:rPr>
          <w:rFonts w:eastAsia="Times New Roman" w:cs="Times New Roman"/>
          <w:lang w:val="hr-HR"/>
        </w:rPr>
        <w:t xml:space="preserve"> dinamike razduživanja stanovništva, uz blago snižavanje stope štednje prema ravnotežnim srednjoročnim razinama.</w:t>
      </w:r>
    </w:p>
    <w:p w14:paraId="03BC4E46" w14:textId="7FFA3BE3" w:rsidR="00EA7E21" w:rsidRPr="004259D0" w:rsidRDefault="00172602" w:rsidP="00124945">
      <w:pPr>
        <w:jc w:val="both"/>
        <w:rPr>
          <w:rFonts w:eastAsia="Times New Roman" w:cs="Times New Roman"/>
          <w:i/>
          <w:color w:val="7F7F7F" w:themeColor="text1" w:themeTint="80"/>
          <w:lang w:val="hr-HR"/>
        </w:rPr>
      </w:pPr>
      <w:r w:rsidRPr="004259D0">
        <w:rPr>
          <w:rFonts w:eastAsia="Times New Roman" w:cs="Times New Roman"/>
          <w:lang w:val="hr-HR"/>
        </w:rPr>
        <w:t>U skladu s projekcijama fiskalnih kategorija na razini opće države, tijekom srednjoročnog razdoblja ne očekuje se izražen doprinos državne potrošnje gospodarskom rastu.</w:t>
      </w:r>
      <w:r w:rsidRPr="004259D0">
        <w:rPr>
          <w:rFonts w:eastAsia="Times New Roman" w:cs="Times New Roman"/>
          <w:i/>
          <w:color w:val="7F7F7F" w:themeColor="text1" w:themeTint="80"/>
          <w:lang w:val="hr-HR"/>
        </w:rPr>
        <w:t xml:space="preserve"> </w:t>
      </w:r>
      <w:r w:rsidRPr="004259D0">
        <w:rPr>
          <w:rFonts w:eastAsia="Times New Roman" w:cs="Times New Roman"/>
          <w:lang w:val="hr-HR"/>
        </w:rPr>
        <w:t>Najveći doprinos rastu državne potrošnje kroz čitavo projekcijsko razdoblje dolazit će od rasta intermedijarne potrošnje. Doprinos od strane naknada zaposlenicima bit će blago pozitivan i stabilan tijekom čitavog srednjoroč</w:t>
      </w:r>
      <w:r w:rsidR="001269A8" w:rsidRPr="004259D0">
        <w:rPr>
          <w:rFonts w:eastAsia="Times New Roman" w:cs="Times New Roman"/>
          <w:lang w:val="hr-HR"/>
        </w:rPr>
        <w:t>nog razdoblja uslijed očekivane umjerene dinamike</w:t>
      </w:r>
      <w:r w:rsidRPr="004259D0">
        <w:rPr>
          <w:rFonts w:eastAsia="Times New Roman" w:cs="Times New Roman"/>
          <w:lang w:val="hr-HR"/>
        </w:rPr>
        <w:t xml:space="preserve"> rasta zaposlenosti na razini opće države</w:t>
      </w:r>
      <w:r w:rsidR="001269A8" w:rsidRPr="004259D0">
        <w:rPr>
          <w:rFonts w:eastAsia="Times New Roman" w:cs="Times New Roman"/>
          <w:lang w:val="hr-HR"/>
        </w:rPr>
        <w:t xml:space="preserve"> koja će ipak biti niža</w:t>
      </w:r>
      <w:r w:rsidR="007A64B4" w:rsidRPr="004259D0">
        <w:rPr>
          <w:rFonts w:eastAsia="Times New Roman" w:cs="Times New Roman"/>
          <w:lang w:val="hr-HR"/>
        </w:rPr>
        <w:t xml:space="preserve"> nego </w:t>
      </w:r>
      <w:r w:rsidR="001269A8" w:rsidRPr="004259D0">
        <w:rPr>
          <w:rFonts w:eastAsia="Times New Roman" w:cs="Times New Roman"/>
          <w:lang w:val="hr-HR"/>
        </w:rPr>
        <w:t xml:space="preserve">u 2018., ali niža i u usporedbi s </w:t>
      </w:r>
      <w:r w:rsidR="007A64B4" w:rsidRPr="004259D0">
        <w:rPr>
          <w:rFonts w:eastAsia="Times New Roman" w:cs="Times New Roman"/>
          <w:lang w:val="hr-HR"/>
        </w:rPr>
        <w:t>rast</w:t>
      </w:r>
      <w:r w:rsidR="006046B3" w:rsidRPr="004259D0">
        <w:rPr>
          <w:rFonts w:eastAsia="Times New Roman" w:cs="Times New Roman"/>
          <w:lang w:val="hr-HR"/>
        </w:rPr>
        <w:t>om</w:t>
      </w:r>
      <w:r w:rsidR="007A64B4" w:rsidRPr="004259D0">
        <w:rPr>
          <w:rFonts w:eastAsia="Times New Roman" w:cs="Times New Roman"/>
          <w:lang w:val="hr-HR"/>
        </w:rPr>
        <w:t xml:space="preserve"> z</w:t>
      </w:r>
      <w:r w:rsidR="001269A8" w:rsidRPr="004259D0">
        <w:rPr>
          <w:rFonts w:eastAsia="Times New Roman" w:cs="Times New Roman"/>
          <w:lang w:val="hr-HR"/>
        </w:rPr>
        <w:t>aposlenosti u privatnom sektoru. M</w:t>
      </w:r>
      <w:r w:rsidRPr="004259D0">
        <w:rPr>
          <w:rFonts w:eastAsia="Times New Roman" w:cs="Times New Roman"/>
          <w:lang w:val="hr-HR"/>
        </w:rPr>
        <w:t xml:space="preserve">anji pozitivan </w:t>
      </w:r>
      <w:r w:rsidR="001269A8" w:rsidRPr="004259D0">
        <w:rPr>
          <w:rFonts w:eastAsia="Times New Roman" w:cs="Times New Roman"/>
          <w:lang w:val="hr-HR"/>
        </w:rPr>
        <w:t xml:space="preserve">i stabilan </w:t>
      </w:r>
      <w:r w:rsidRPr="004259D0">
        <w:rPr>
          <w:rFonts w:eastAsia="Times New Roman" w:cs="Times New Roman"/>
          <w:lang w:val="hr-HR"/>
        </w:rPr>
        <w:t xml:space="preserve">doprinos </w:t>
      </w:r>
      <w:r w:rsidR="001269A8" w:rsidRPr="004259D0">
        <w:rPr>
          <w:rFonts w:eastAsia="Times New Roman" w:cs="Times New Roman"/>
          <w:lang w:val="hr-HR"/>
        </w:rPr>
        <w:t xml:space="preserve">rastu državne potrošnje </w:t>
      </w:r>
      <w:r w:rsidRPr="004259D0">
        <w:rPr>
          <w:rFonts w:eastAsia="Times New Roman" w:cs="Times New Roman"/>
          <w:lang w:val="hr-HR"/>
        </w:rPr>
        <w:t>očekuje se i od kategorije socijalnih transfera u naravi</w:t>
      </w:r>
      <w:r w:rsidR="007A64B4" w:rsidRPr="004259D0">
        <w:rPr>
          <w:rFonts w:eastAsia="Times New Roman" w:cs="Times New Roman"/>
          <w:lang w:val="hr-HR"/>
        </w:rPr>
        <w:t xml:space="preserve">, dok se </w:t>
      </w:r>
      <w:r w:rsidR="001269A8" w:rsidRPr="004259D0">
        <w:rPr>
          <w:rFonts w:eastAsia="Times New Roman" w:cs="Times New Roman"/>
          <w:lang w:val="hr-HR"/>
        </w:rPr>
        <w:t xml:space="preserve">blago </w:t>
      </w:r>
      <w:r w:rsidR="007A64B4" w:rsidRPr="004259D0">
        <w:rPr>
          <w:rFonts w:eastAsia="Times New Roman" w:cs="Times New Roman"/>
          <w:lang w:val="hr-HR"/>
        </w:rPr>
        <w:t>negativan doprinos u razdoblju 2019. – 2020. očekuje od tržišnog outputa</w:t>
      </w:r>
      <w:r w:rsidR="004C7643" w:rsidRPr="004259D0">
        <w:rPr>
          <w:rStyle w:val="FootnoteReference"/>
          <w:rFonts w:eastAsia="Times New Roman"/>
          <w:lang w:val="hr-HR"/>
        </w:rPr>
        <w:footnoteReference w:id="9"/>
      </w:r>
      <w:r w:rsidR="00124945" w:rsidRPr="004259D0">
        <w:rPr>
          <w:rFonts w:eastAsia="Times New Roman" w:cs="Times New Roman"/>
          <w:lang w:val="hr-HR"/>
        </w:rPr>
        <w:t>.</w:t>
      </w:r>
      <w:r w:rsidR="006E6180" w:rsidRPr="004259D0">
        <w:rPr>
          <w:rFonts w:eastAsia="Times New Roman" w:cs="Times New Roman"/>
          <w:lang w:val="hr-HR"/>
        </w:rPr>
        <w:t xml:space="preserve"> </w:t>
      </w:r>
      <w:r w:rsidR="00124945" w:rsidRPr="004259D0">
        <w:rPr>
          <w:rFonts w:eastAsia="Times New Roman" w:cs="Times New Roman"/>
          <w:lang w:val="hr-HR"/>
        </w:rPr>
        <w:t xml:space="preserve"> </w:t>
      </w:r>
      <w:r w:rsidRPr="004259D0">
        <w:rPr>
          <w:rFonts w:eastAsia="Times New Roman" w:cs="Times New Roman"/>
          <w:i/>
          <w:color w:val="7F7F7F" w:themeColor="text1" w:themeTint="80"/>
          <w:lang w:val="hr-HR"/>
        </w:rPr>
        <w:t xml:space="preserve"> </w:t>
      </w:r>
    </w:p>
    <w:p w14:paraId="35314041" w14:textId="22CDDF01" w:rsidR="00172602" w:rsidRPr="004259D0" w:rsidRDefault="00172602" w:rsidP="00172602">
      <w:pPr>
        <w:jc w:val="both"/>
        <w:rPr>
          <w:lang w:val="hr-HR"/>
        </w:rPr>
      </w:pPr>
      <w:r w:rsidRPr="004259D0">
        <w:rPr>
          <w:lang w:val="hr-HR"/>
        </w:rPr>
        <w:t>Tijekom 2018. godine bruto investicije u fiksni kapital zabilježile su blago ubrzanje ras</w:t>
      </w:r>
      <w:r w:rsidR="00475188" w:rsidRPr="004259D0">
        <w:rPr>
          <w:lang w:val="hr-HR"/>
        </w:rPr>
        <w:t>ta u odnosu na prethodnu godinu. To</w:t>
      </w:r>
      <w:r w:rsidRPr="004259D0">
        <w:rPr>
          <w:lang w:val="hr-HR"/>
        </w:rPr>
        <w:t xml:space="preserve">mu je </w:t>
      </w:r>
      <w:r w:rsidR="00475188" w:rsidRPr="004259D0">
        <w:rPr>
          <w:lang w:val="hr-HR"/>
        </w:rPr>
        <w:t>prvenstveno</w:t>
      </w:r>
      <w:r w:rsidRPr="004259D0">
        <w:rPr>
          <w:lang w:val="hr-HR"/>
        </w:rPr>
        <w:t xml:space="preserve"> pridonijelo ostvare</w:t>
      </w:r>
      <w:r w:rsidR="00475188" w:rsidRPr="004259D0">
        <w:rPr>
          <w:lang w:val="hr-HR"/>
        </w:rPr>
        <w:t xml:space="preserve">nje u posljednjem tromjesečju koje je rezultat </w:t>
      </w:r>
      <w:r w:rsidRPr="004259D0">
        <w:rPr>
          <w:lang w:val="hr-HR"/>
        </w:rPr>
        <w:t xml:space="preserve">snažne investicijske aktivnosti opće države, </w:t>
      </w:r>
      <w:r w:rsidR="007745E5" w:rsidRPr="004259D0">
        <w:rPr>
          <w:lang w:val="hr-HR"/>
        </w:rPr>
        <w:t xml:space="preserve">posebno </w:t>
      </w:r>
      <w:r w:rsidR="00475188" w:rsidRPr="004259D0">
        <w:rPr>
          <w:lang w:val="hr-HR"/>
        </w:rPr>
        <w:t xml:space="preserve">izražene </w:t>
      </w:r>
      <w:r w:rsidR="007745E5" w:rsidRPr="004259D0">
        <w:rPr>
          <w:lang w:val="hr-HR"/>
        </w:rPr>
        <w:t xml:space="preserve">u drugoj polovici godine, </w:t>
      </w:r>
      <w:r w:rsidR="00982DEE" w:rsidRPr="004259D0">
        <w:rPr>
          <w:lang w:val="hr-HR"/>
        </w:rPr>
        <w:t>dok su privatne investicije u 2018.</w:t>
      </w:r>
      <w:r w:rsidRPr="004259D0">
        <w:rPr>
          <w:lang w:val="hr-HR"/>
        </w:rPr>
        <w:t xml:space="preserve"> zabilježile smanjenje</w:t>
      </w:r>
      <w:r w:rsidRPr="004259D0">
        <w:rPr>
          <w:rStyle w:val="FootnoteReference"/>
          <w:lang w:val="hr-HR"/>
        </w:rPr>
        <w:footnoteReference w:id="10"/>
      </w:r>
      <w:r w:rsidRPr="004259D0">
        <w:rPr>
          <w:lang w:val="hr-HR"/>
        </w:rPr>
        <w:t xml:space="preserve">. U narednom srednjoročnom razdoblju očekuje se nešto izraženiji rast investicijske aktivnosti, pri čemu će ona u 2019. godini biti generirana prvenstveno investicijama javnog sektora (opća država te </w:t>
      </w:r>
      <w:r w:rsidRPr="004259D0">
        <w:rPr>
          <w:rFonts w:ascii="Calibri" w:eastAsia="Calibri" w:hAnsi="Calibri" w:cs="Times New Roman"/>
          <w:lang w:val="hr-HR"/>
        </w:rPr>
        <w:t xml:space="preserve">poduzeća u većinskom državnom vlasništvu </w:t>
      </w:r>
      <w:r w:rsidRPr="004259D0">
        <w:rPr>
          <w:lang w:val="hr-HR"/>
        </w:rPr>
        <w:t xml:space="preserve">koja nisu u sastavu opće države prema </w:t>
      </w:r>
      <w:r w:rsidR="00D06808" w:rsidRPr="004259D0">
        <w:rPr>
          <w:lang w:val="hr-HR"/>
        </w:rPr>
        <w:t xml:space="preserve">metodologiji </w:t>
      </w:r>
      <w:r w:rsidRPr="004259D0">
        <w:rPr>
          <w:lang w:val="hr-HR"/>
        </w:rPr>
        <w:t>ESA 2010</w:t>
      </w:r>
      <w:r w:rsidR="0039098B" w:rsidRPr="004259D0">
        <w:rPr>
          <w:rStyle w:val="FootnoteReference"/>
          <w:lang w:val="hr-HR"/>
        </w:rPr>
        <w:footnoteReference w:id="11"/>
      </w:r>
      <w:r w:rsidRPr="004259D0">
        <w:rPr>
          <w:lang w:val="hr-HR"/>
        </w:rPr>
        <w:t>), dok će u ostalim godinama snažniji doprinos rastu ukupnih i</w:t>
      </w:r>
      <w:r w:rsidR="006046B3" w:rsidRPr="004259D0">
        <w:rPr>
          <w:lang w:val="hr-HR"/>
        </w:rPr>
        <w:t>nvesticija dolaziti od privatnog</w:t>
      </w:r>
      <w:r w:rsidRPr="004259D0">
        <w:rPr>
          <w:lang w:val="hr-HR"/>
        </w:rPr>
        <w:t xml:space="preserve"> </w:t>
      </w:r>
      <w:r w:rsidR="006046B3" w:rsidRPr="004259D0">
        <w:rPr>
          <w:lang w:val="hr-HR"/>
        </w:rPr>
        <w:t>sektor</w:t>
      </w:r>
      <w:r w:rsidRPr="004259D0">
        <w:rPr>
          <w:lang w:val="hr-HR"/>
        </w:rPr>
        <w:t xml:space="preserve">a. </w:t>
      </w:r>
      <w:r w:rsidR="00C86AC5" w:rsidRPr="004259D0">
        <w:rPr>
          <w:lang w:val="hr-HR"/>
        </w:rPr>
        <w:t>Tako je u ovaj makroekonomski okvir ugrađena slabija dinamika investicij</w:t>
      </w:r>
      <w:r w:rsidR="006046B3" w:rsidRPr="004259D0">
        <w:rPr>
          <w:lang w:val="hr-HR"/>
        </w:rPr>
        <w:t>a</w:t>
      </w:r>
      <w:r w:rsidR="00C86AC5" w:rsidRPr="004259D0">
        <w:rPr>
          <w:lang w:val="hr-HR"/>
        </w:rPr>
        <w:t xml:space="preserve"> privatnog sektora u razdoblju od 2018. do 2020., nakon zabilježenih snažnih povećanja u 2016. i 2017., koja će opet </w:t>
      </w:r>
      <w:r w:rsidR="006046B3" w:rsidRPr="004259D0">
        <w:rPr>
          <w:lang w:val="hr-HR"/>
        </w:rPr>
        <w:t>ojačati</w:t>
      </w:r>
      <w:r w:rsidR="00C86AC5" w:rsidRPr="004259D0">
        <w:rPr>
          <w:lang w:val="hr-HR"/>
        </w:rPr>
        <w:t xml:space="preserve"> tek prema kraju projekcijskog razdoblja. P</w:t>
      </w:r>
      <w:r w:rsidRPr="004259D0">
        <w:rPr>
          <w:lang w:val="hr-HR"/>
        </w:rPr>
        <w:t xml:space="preserve">redviđeno </w:t>
      </w:r>
      <w:r w:rsidR="006046B3" w:rsidRPr="004259D0">
        <w:rPr>
          <w:lang w:val="hr-HR"/>
        </w:rPr>
        <w:t xml:space="preserve">je </w:t>
      </w:r>
      <w:r w:rsidRPr="004259D0">
        <w:rPr>
          <w:lang w:val="hr-HR"/>
        </w:rPr>
        <w:t xml:space="preserve">kako će u čitavom projekcijskom razdoblju znatno porasti korištenje sredstava kapitalne namjene iz EU fondova, naročito u sektoru opće države. </w:t>
      </w:r>
      <w:r w:rsidR="00C86AC5" w:rsidRPr="004259D0">
        <w:rPr>
          <w:lang w:val="hr-HR"/>
        </w:rPr>
        <w:t>Nadalje</w:t>
      </w:r>
      <w:r w:rsidR="00454005" w:rsidRPr="004259D0">
        <w:rPr>
          <w:lang w:val="hr-HR"/>
        </w:rPr>
        <w:t xml:space="preserve">, </w:t>
      </w:r>
      <w:r w:rsidRPr="004259D0">
        <w:rPr>
          <w:lang w:val="hr-HR"/>
        </w:rPr>
        <w:t xml:space="preserve">tijekom srednjoročnog razdoblja očekuje se daljnje poboljšanje investicijske klime u uvjetima nastavka dobrih poslovnih rezultata </w:t>
      </w:r>
      <w:r w:rsidR="00AD0668" w:rsidRPr="004259D0">
        <w:rPr>
          <w:lang w:val="hr-HR"/>
        </w:rPr>
        <w:t xml:space="preserve">te manje opterećenih bilanci </w:t>
      </w:r>
      <w:r w:rsidRPr="004259D0">
        <w:rPr>
          <w:lang w:val="hr-HR"/>
        </w:rPr>
        <w:t xml:space="preserve">sektora poduzeća, povoljnog kretanja indeksa ekonomskog raspoloženja, kao i zadržavanja povoljnih uvjeta financiranja na koje će zasigurno pozitivno utjecati i recentno povećanje kreditnog rejtinga zemlje. Pritom </w:t>
      </w:r>
      <w:r w:rsidR="00AD0668" w:rsidRPr="004259D0">
        <w:rPr>
          <w:lang w:val="hr-HR"/>
        </w:rPr>
        <w:t xml:space="preserve">svakako </w:t>
      </w:r>
      <w:r w:rsidRPr="004259D0">
        <w:rPr>
          <w:lang w:val="hr-HR"/>
        </w:rPr>
        <w:t>treba spomenuti kako anketna istraživanja poduzeća pokazuju kako posljednjih godina glavni faktor ograničenja njihove proizvodnje postaje nedostatak radne snage, dok faktori</w:t>
      </w:r>
      <w:r w:rsidR="00454005" w:rsidRPr="004259D0">
        <w:rPr>
          <w:lang w:val="hr-HR"/>
        </w:rPr>
        <w:t xml:space="preserve"> poput nedovoljne potražnje, </w:t>
      </w:r>
      <w:r w:rsidRPr="004259D0">
        <w:rPr>
          <w:lang w:val="hr-HR"/>
        </w:rPr>
        <w:t xml:space="preserve">financijskih ograničenja </w:t>
      </w:r>
      <w:r w:rsidR="00454005" w:rsidRPr="004259D0">
        <w:rPr>
          <w:lang w:val="hr-HR"/>
        </w:rPr>
        <w:t>i</w:t>
      </w:r>
      <w:r w:rsidR="00AD0668" w:rsidRPr="004259D0">
        <w:rPr>
          <w:lang w:val="hr-HR"/>
        </w:rPr>
        <w:t>li</w:t>
      </w:r>
      <w:r w:rsidR="00454005" w:rsidRPr="004259D0">
        <w:rPr>
          <w:lang w:val="hr-HR"/>
        </w:rPr>
        <w:t xml:space="preserve"> opreme </w:t>
      </w:r>
      <w:r w:rsidRPr="004259D0">
        <w:rPr>
          <w:lang w:val="hr-HR"/>
        </w:rPr>
        <w:t xml:space="preserve">postaju sve manje relevantni. Na olakšanje poslovanja poduzetnika povoljno bi trebalo djelovati i daljnje porezno rasterećenje, kao i nastavak provedbe mjera </w:t>
      </w:r>
      <w:r w:rsidR="006046B3" w:rsidRPr="004259D0">
        <w:rPr>
          <w:lang w:val="hr-HR"/>
        </w:rPr>
        <w:t xml:space="preserve">smanjenja </w:t>
      </w:r>
      <w:r w:rsidRPr="004259D0">
        <w:rPr>
          <w:lang w:val="hr-HR"/>
        </w:rPr>
        <w:t xml:space="preserve">administrativnog </w:t>
      </w:r>
      <w:r w:rsidR="006046B3" w:rsidRPr="004259D0">
        <w:rPr>
          <w:lang w:val="hr-HR"/>
        </w:rPr>
        <w:t>op</w:t>
      </w:r>
      <w:r w:rsidRPr="004259D0">
        <w:rPr>
          <w:lang w:val="hr-HR"/>
        </w:rPr>
        <w:t xml:space="preserve">terećenja gospodarstva. Slijedom svega spomenutog, predviđa se i oporavak priljeva inozemnih izravnih investicija. </w:t>
      </w:r>
      <w:r w:rsidR="002C1458" w:rsidRPr="004259D0">
        <w:rPr>
          <w:lang w:val="hr-HR"/>
        </w:rPr>
        <w:t>U uvjetima ubrzanja rasta cijena stambenih nekretnina</w:t>
      </w:r>
      <w:r w:rsidR="00CF7D2D" w:rsidRPr="004259D0">
        <w:rPr>
          <w:lang w:val="hr-HR"/>
        </w:rPr>
        <w:t xml:space="preserve"> te rasta građevinskih troškova</w:t>
      </w:r>
      <w:r w:rsidR="002C1458" w:rsidRPr="004259D0">
        <w:rPr>
          <w:lang w:val="hr-HR"/>
        </w:rPr>
        <w:t xml:space="preserve"> </w:t>
      </w:r>
      <w:r w:rsidR="00CF7D2D" w:rsidRPr="004259D0">
        <w:rPr>
          <w:lang w:val="hr-HR"/>
        </w:rPr>
        <w:t xml:space="preserve">tijekom 2018. godine </w:t>
      </w:r>
      <w:r w:rsidR="002C1458" w:rsidRPr="004259D0">
        <w:rPr>
          <w:lang w:val="hr-HR"/>
        </w:rPr>
        <w:t>g</w:t>
      </w:r>
      <w:r w:rsidRPr="004259D0">
        <w:rPr>
          <w:lang w:val="hr-HR"/>
        </w:rPr>
        <w:t xml:space="preserve">rađevinska aktivnost je ubrzala, naročito u drugoj polovici, </w:t>
      </w:r>
      <w:r w:rsidR="00CF7D2D" w:rsidRPr="004259D0">
        <w:rPr>
          <w:lang w:val="hr-HR"/>
        </w:rPr>
        <w:t xml:space="preserve">i to </w:t>
      </w:r>
      <w:r w:rsidRPr="004259D0">
        <w:rPr>
          <w:lang w:val="hr-HR"/>
        </w:rPr>
        <w:t>isključivo radi rasta građevinskih radova na zgradama, dok radovi na ostalim građevinama</w:t>
      </w:r>
      <w:r w:rsidRPr="004259D0">
        <w:rPr>
          <w:rStyle w:val="FootnoteReference"/>
          <w:lang w:val="hr-HR"/>
        </w:rPr>
        <w:footnoteReference w:id="12"/>
      </w:r>
      <w:r w:rsidR="002C1458" w:rsidRPr="004259D0">
        <w:rPr>
          <w:lang w:val="hr-HR"/>
        </w:rPr>
        <w:t xml:space="preserve"> i dalje bilježe pad</w:t>
      </w:r>
      <w:r w:rsidRPr="004259D0">
        <w:rPr>
          <w:lang w:val="hr-HR"/>
        </w:rPr>
        <w:t>. Nastavak rasta građevinske aktivnosti predviđa se i u narednom razdoblju, uz</w:t>
      </w:r>
      <w:r w:rsidR="00CF7D2D" w:rsidRPr="004259D0">
        <w:rPr>
          <w:lang w:val="hr-HR"/>
        </w:rPr>
        <w:t xml:space="preserve"> oporavak građevinskih radova </w:t>
      </w:r>
      <w:r w:rsidRPr="004259D0">
        <w:rPr>
          <w:lang w:val="hr-HR"/>
        </w:rPr>
        <w:t>na os</w:t>
      </w:r>
      <w:r w:rsidR="00CF7D2D" w:rsidRPr="004259D0">
        <w:rPr>
          <w:lang w:val="hr-HR"/>
        </w:rPr>
        <w:t>talim građevinama</w:t>
      </w:r>
      <w:r w:rsidRPr="004259D0">
        <w:rPr>
          <w:lang w:val="hr-HR"/>
        </w:rPr>
        <w:t xml:space="preserve"> uslijed snažnijeg korištenja sredstava iz EU fondova, ali </w:t>
      </w:r>
      <w:r w:rsidR="006046B3" w:rsidRPr="004259D0">
        <w:rPr>
          <w:lang w:val="hr-HR"/>
        </w:rPr>
        <w:t>i uz</w:t>
      </w:r>
      <w:r w:rsidRPr="004259D0">
        <w:rPr>
          <w:lang w:val="hr-HR"/>
        </w:rPr>
        <w:t xml:space="preserve"> dalje prisutna ograničenja vezana uz nedostatak radne snage te visoku razinu zaduženosti poduzeća u ovoj djelatnosti.</w:t>
      </w:r>
    </w:p>
    <w:p w14:paraId="517A4073" w14:textId="77777777" w:rsidR="006046B3" w:rsidRPr="004259D0" w:rsidRDefault="006046B3" w:rsidP="00172602">
      <w:pPr>
        <w:jc w:val="both"/>
        <w:rPr>
          <w:lang w:val="hr-HR"/>
        </w:rPr>
      </w:pPr>
    </w:p>
    <w:p w14:paraId="7F174355" w14:textId="77777777" w:rsidR="006046B3" w:rsidRPr="004259D0" w:rsidRDefault="006046B3" w:rsidP="00172602">
      <w:pPr>
        <w:jc w:val="both"/>
        <w:rPr>
          <w:lang w:val="hr-HR"/>
        </w:rPr>
      </w:pPr>
    </w:p>
    <w:p w14:paraId="3A7EFD74" w14:textId="77777777" w:rsidR="006046B3" w:rsidRPr="004259D0" w:rsidRDefault="006046B3" w:rsidP="00172602">
      <w:pPr>
        <w:jc w:val="both"/>
        <w:rPr>
          <w:lang w:val="hr-HR"/>
        </w:rPr>
      </w:pPr>
    </w:p>
    <w:p w14:paraId="734B2DAB" w14:textId="77777777" w:rsidR="000E522A" w:rsidRPr="004259D0" w:rsidRDefault="000865CF" w:rsidP="00D12C95">
      <w:pPr>
        <w:spacing w:after="0" w:line="240" w:lineRule="auto"/>
        <w:rPr>
          <w:i/>
          <w:lang w:val="hr-HR"/>
        </w:rPr>
      </w:pPr>
      <w:bookmarkStart w:id="10" w:name="_Toc6418634"/>
      <w:r w:rsidRPr="004259D0">
        <w:rPr>
          <w:i/>
          <w:lang w:val="hr-HR"/>
        </w:rPr>
        <w:t xml:space="preserve">Tablica </w:t>
      </w:r>
      <w:r w:rsidR="00821428" w:rsidRPr="004259D0">
        <w:rPr>
          <w:i/>
          <w:lang w:val="hr-HR"/>
        </w:rPr>
        <w:fldChar w:fldCharType="begin"/>
      </w:r>
      <w:r w:rsidR="00821428" w:rsidRPr="004259D0">
        <w:rPr>
          <w:i/>
          <w:lang w:val="hr-HR"/>
        </w:rPr>
        <w:instrText xml:space="preserve"> STYLEREF 1 \s </w:instrText>
      </w:r>
      <w:r w:rsidR="00821428" w:rsidRPr="004259D0">
        <w:rPr>
          <w:i/>
          <w:lang w:val="hr-HR"/>
        </w:rPr>
        <w:fldChar w:fldCharType="separate"/>
      </w:r>
      <w:r w:rsidR="00572AFD">
        <w:rPr>
          <w:i/>
          <w:noProof/>
          <w:lang w:val="hr-HR"/>
        </w:rPr>
        <w:t>2</w:t>
      </w:r>
      <w:r w:rsidR="00821428" w:rsidRPr="004259D0">
        <w:rPr>
          <w:i/>
          <w:lang w:val="hr-HR"/>
        </w:rPr>
        <w:fldChar w:fldCharType="end"/>
      </w:r>
      <w:r w:rsidR="00821428" w:rsidRPr="004259D0">
        <w:rPr>
          <w:i/>
          <w:lang w:val="hr-HR"/>
        </w:rPr>
        <w:t>.</w:t>
      </w:r>
      <w:r w:rsidR="00821428" w:rsidRPr="004259D0">
        <w:rPr>
          <w:i/>
          <w:lang w:val="hr-HR"/>
        </w:rPr>
        <w:fldChar w:fldCharType="begin"/>
      </w:r>
      <w:r w:rsidR="00821428" w:rsidRPr="004259D0">
        <w:rPr>
          <w:i/>
          <w:lang w:val="hr-HR"/>
        </w:rPr>
        <w:instrText xml:space="preserve"> SEQ Tablica \* ARABIC \s 1 </w:instrText>
      </w:r>
      <w:r w:rsidR="00821428" w:rsidRPr="004259D0">
        <w:rPr>
          <w:i/>
          <w:lang w:val="hr-HR"/>
        </w:rPr>
        <w:fldChar w:fldCharType="separate"/>
      </w:r>
      <w:r w:rsidR="00572AFD">
        <w:rPr>
          <w:i/>
          <w:noProof/>
          <w:lang w:val="hr-HR"/>
        </w:rPr>
        <w:t>2</w:t>
      </w:r>
      <w:r w:rsidR="00821428" w:rsidRPr="004259D0">
        <w:rPr>
          <w:i/>
          <w:lang w:val="hr-HR"/>
        </w:rPr>
        <w:fldChar w:fldCharType="end"/>
      </w:r>
      <w:r w:rsidR="00A86162" w:rsidRPr="004259D0">
        <w:rPr>
          <w:i/>
          <w:lang w:val="hr-HR"/>
        </w:rPr>
        <w:t>. Bruto investicije u fiksni kapital po sektorima (realne stope promjene u %)</w:t>
      </w:r>
      <w:bookmarkEnd w:id="10"/>
    </w:p>
    <w:p w14:paraId="68B4993A" w14:textId="58172A06" w:rsidR="00172602" w:rsidRPr="004259D0" w:rsidRDefault="00036748" w:rsidP="00172602">
      <w:pPr>
        <w:spacing w:after="0"/>
        <w:jc w:val="both"/>
        <w:rPr>
          <w:i/>
          <w:sz w:val="20"/>
          <w:lang w:val="hr-HR"/>
        </w:rPr>
      </w:pPr>
      <w:r w:rsidRPr="004259D0">
        <w:rPr>
          <w:noProof/>
          <w:lang w:val="hr-HR" w:eastAsia="hr-HR"/>
        </w:rPr>
        <w:drawing>
          <wp:inline distT="0" distB="0" distL="0" distR="0" wp14:anchorId="35A5864D" wp14:editId="625EBAA3">
            <wp:extent cx="5760720" cy="1309927"/>
            <wp:effectExtent l="0" t="0" r="0" b="508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309927"/>
                    </a:xfrm>
                    <a:prstGeom prst="rect">
                      <a:avLst/>
                    </a:prstGeom>
                    <a:noFill/>
                    <a:ln>
                      <a:noFill/>
                    </a:ln>
                  </pic:spPr>
                </pic:pic>
              </a:graphicData>
            </a:graphic>
          </wp:inline>
        </w:drawing>
      </w:r>
    </w:p>
    <w:p w14:paraId="672AE318" w14:textId="0897C073" w:rsidR="00036748" w:rsidRPr="004259D0" w:rsidRDefault="00036748" w:rsidP="00172602">
      <w:pPr>
        <w:spacing w:after="0"/>
        <w:jc w:val="both"/>
        <w:rPr>
          <w:i/>
          <w:sz w:val="20"/>
          <w:lang w:val="hr-HR"/>
        </w:rPr>
      </w:pPr>
      <w:r w:rsidRPr="004259D0">
        <w:rPr>
          <w:i/>
          <w:sz w:val="20"/>
          <w:vertAlign w:val="superscript"/>
          <w:lang w:val="hr-HR"/>
        </w:rPr>
        <w:t>1</w:t>
      </w:r>
      <w:r w:rsidRPr="004259D0">
        <w:rPr>
          <w:i/>
          <w:sz w:val="20"/>
          <w:lang w:val="hr-HR"/>
        </w:rPr>
        <w:t xml:space="preserve"> Konsolidirano.</w:t>
      </w:r>
    </w:p>
    <w:p w14:paraId="7356EE6D" w14:textId="39707638" w:rsidR="00036748" w:rsidRPr="004259D0" w:rsidRDefault="00036748" w:rsidP="00172602">
      <w:pPr>
        <w:spacing w:after="0"/>
        <w:jc w:val="both"/>
        <w:rPr>
          <w:i/>
          <w:sz w:val="20"/>
          <w:lang w:val="hr-HR"/>
        </w:rPr>
      </w:pPr>
      <w:r w:rsidRPr="004259D0">
        <w:rPr>
          <w:i/>
          <w:sz w:val="20"/>
          <w:lang w:val="hr-HR"/>
        </w:rPr>
        <w:t>Napomena: Deflacionirano deflatorom ukupnih bruto investicija u fiksni kapital.</w:t>
      </w:r>
    </w:p>
    <w:p w14:paraId="6905BC36" w14:textId="1545D8BA" w:rsidR="00036748" w:rsidRPr="004259D0" w:rsidRDefault="00036748" w:rsidP="00172602">
      <w:pPr>
        <w:spacing w:after="0"/>
        <w:jc w:val="both"/>
        <w:rPr>
          <w:i/>
          <w:sz w:val="20"/>
          <w:lang w:val="hr-HR"/>
        </w:rPr>
      </w:pPr>
      <w:r w:rsidRPr="004259D0">
        <w:rPr>
          <w:i/>
          <w:sz w:val="20"/>
          <w:lang w:val="hr-HR"/>
        </w:rPr>
        <w:t>Napomena: Podaci za 2018. su preliminarni.</w:t>
      </w:r>
    </w:p>
    <w:p w14:paraId="2623F92D" w14:textId="77777777" w:rsidR="00A86162" w:rsidRPr="004259D0" w:rsidRDefault="00A86162" w:rsidP="00AE784C">
      <w:pPr>
        <w:jc w:val="both"/>
        <w:rPr>
          <w:i/>
          <w:sz w:val="20"/>
          <w:lang w:val="hr-HR"/>
        </w:rPr>
      </w:pPr>
      <w:r w:rsidRPr="004259D0">
        <w:rPr>
          <w:i/>
          <w:sz w:val="20"/>
          <w:lang w:val="hr-HR"/>
        </w:rPr>
        <w:t xml:space="preserve">Izvor: Državni zavod za statistiku, Ministarstvo financija </w:t>
      </w:r>
    </w:p>
    <w:p w14:paraId="26C2C85C" w14:textId="09F11833" w:rsidR="006C3335" w:rsidRPr="004259D0" w:rsidRDefault="00005957" w:rsidP="00172602">
      <w:pPr>
        <w:jc w:val="both"/>
        <w:rPr>
          <w:lang w:val="hr-HR"/>
        </w:rPr>
      </w:pPr>
      <w:r w:rsidRPr="004259D0">
        <w:rPr>
          <w:lang w:val="hr-HR"/>
        </w:rPr>
        <w:t>P</w:t>
      </w:r>
      <w:r w:rsidR="00172602" w:rsidRPr="004259D0">
        <w:rPr>
          <w:lang w:val="hr-HR"/>
        </w:rPr>
        <w:t>ristupanj</w:t>
      </w:r>
      <w:r w:rsidRPr="004259D0">
        <w:rPr>
          <w:lang w:val="hr-HR"/>
        </w:rPr>
        <w:t>e</w:t>
      </w:r>
      <w:r w:rsidR="00172602" w:rsidRPr="004259D0">
        <w:rPr>
          <w:lang w:val="hr-HR"/>
        </w:rPr>
        <w:t xml:space="preserve"> RH u EU </w:t>
      </w:r>
      <w:r w:rsidRPr="004259D0">
        <w:rPr>
          <w:lang w:val="hr-HR"/>
        </w:rPr>
        <w:t xml:space="preserve">potaknulo je pozitivne strukturne promjene </w:t>
      </w:r>
      <w:r w:rsidR="00172602" w:rsidRPr="004259D0">
        <w:rPr>
          <w:lang w:val="hr-HR"/>
        </w:rPr>
        <w:t>koje su rezultirale time da je izvoz postao glavni generator gospodarskog rasta</w:t>
      </w:r>
      <w:r w:rsidR="00D07CE3" w:rsidRPr="004259D0">
        <w:rPr>
          <w:lang w:val="hr-HR"/>
        </w:rPr>
        <w:t xml:space="preserve"> promatrano prema pojedinačnim sastavnicama s rashodne strane</w:t>
      </w:r>
      <w:r w:rsidR="00172602" w:rsidRPr="004259D0">
        <w:rPr>
          <w:lang w:val="hr-HR"/>
        </w:rPr>
        <w:t>. Međutim, tijekom 2018. godine izvoz je zabilježio nepovoljnija ostvarenja nego ranijih godina, i to prvenstveno radi izvoza roba</w:t>
      </w:r>
      <w:r w:rsidR="00172602" w:rsidRPr="004259D0">
        <w:rPr>
          <w:rStyle w:val="FootnoteReference"/>
          <w:lang w:val="hr-HR"/>
        </w:rPr>
        <w:footnoteReference w:id="13"/>
      </w:r>
      <w:r w:rsidRPr="004259D0">
        <w:rPr>
          <w:lang w:val="hr-HR"/>
        </w:rPr>
        <w:t xml:space="preserve">. Naime, nakon pet godina uzastopnog rasta udjela na izvoznim tržištima, u 2018. </w:t>
      </w:r>
      <w:r w:rsidR="007573D0" w:rsidRPr="004259D0">
        <w:rPr>
          <w:lang w:val="hr-HR"/>
        </w:rPr>
        <w:t xml:space="preserve">je </w:t>
      </w:r>
      <w:r w:rsidRPr="004259D0">
        <w:rPr>
          <w:lang w:val="hr-HR"/>
        </w:rPr>
        <w:t>došlo do pada udjela, po prvi puta od ulaska u EU, u uvjetima</w:t>
      </w:r>
      <w:r w:rsidR="00172602" w:rsidRPr="004259D0">
        <w:rPr>
          <w:lang w:val="hr-HR"/>
        </w:rPr>
        <w:t xml:space="preserve"> usporavanj</w:t>
      </w:r>
      <w:r w:rsidRPr="004259D0">
        <w:rPr>
          <w:lang w:val="hr-HR"/>
        </w:rPr>
        <w:t>a</w:t>
      </w:r>
      <w:r w:rsidR="00172602" w:rsidRPr="004259D0">
        <w:rPr>
          <w:lang w:val="hr-HR"/>
        </w:rPr>
        <w:t xml:space="preserve"> rasta inozemne potražnje. </w:t>
      </w:r>
      <w:r w:rsidR="007573D0" w:rsidRPr="004259D0">
        <w:rPr>
          <w:lang w:val="hr-HR"/>
        </w:rPr>
        <w:t>U narednim godinama, u</w:t>
      </w:r>
      <w:r w:rsidR="00172602" w:rsidRPr="004259D0">
        <w:rPr>
          <w:lang w:val="hr-HR"/>
        </w:rPr>
        <w:t xml:space="preserve"> skladu s </w:t>
      </w:r>
      <w:r w:rsidR="007573D0" w:rsidRPr="004259D0">
        <w:rPr>
          <w:lang w:val="hr-HR"/>
        </w:rPr>
        <w:t xml:space="preserve">navedenom </w:t>
      </w:r>
      <w:r w:rsidR="00172602" w:rsidRPr="004259D0">
        <w:rPr>
          <w:lang w:val="hr-HR"/>
        </w:rPr>
        <w:t>korekcijom projekcije rasta inozemne potražnje naniže, naročito u 2019.,</w:t>
      </w:r>
      <w:r w:rsidR="007573D0" w:rsidRPr="004259D0">
        <w:rPr>
          <w:lang w:val="hr-HR"/>
        </w:rPr>
        <w:t xml:space="preserve"> kao i korekcijom naniže dinamike promjena udjela </w:t>
      </w:r>
      <w:r w:rsidR="00AA7CED" w:rsidRPr="004259D0">
        <w:rPr>
          <w:lang w:val="hr-HR"/>
        </w:rPr>
        <w:t xml:space="preserve">na </w:t>
      </w:r>
      <w:r w:rsidR="007573D0" w:rsidRPr="004259D0">
        <w:rPr>
          <w:lang w:val="hr-HR"/>
        </w:rPr>
        <w:t>hrvatskim izvoznim tržištima,</w:t>
      </w:r>
      <w:r w:rsidR="00172602" w:rsidRPr="004259D0">
        <w:rPr>
          <w:lang w:val="hr-HR"/>
        </w:rPr>
        <w:t xml:space="preserve"> rast izvoza roba i usluga sada se očekuje na znatno nižim razinama no što je to bio slučaj u godinama nakon pristupanja EU. Pritom će kroz čitavo projekcijsko razdoblje doprinos izvoza roba biti </w:t>
      </w:r>
      <w:r w:rsidR="00C001FD" w:rsidRPr="004259D0">
        <w:rPr>
          <w:lang w:val="hr-HR"/>
        </w:rPr>
        <w:t>viši od doprinosa izvoza usluga</w:t>
      </w:r>
      <w:r w:rsidR="00172602" w:rsidRPr="004259D0">
        <w:rPr>
          <w:lang w:val="hr-HR"/>
        </w:rPr>
        <w:t xml:space="preserve">. </w:t>
      </w:r>
      <w:r w:rsidR="00AA7CED" w:rsidRPr="004259D0">
        <w:rPr>
          <w:lang w:val="hr-HR"/>
        </w:rPr>
        <w:t>Stoga će tek</w:t>
      </w:r>
      <w:r w:rsidR="007573D0" w:rsidRPr="004259D0">
        <w:rPr>
          <w:lang w:val="hr-HR"/>
        </w:rPr>
        <w:t xml:space="preserve"> </w:t>
      </w:r>
      <w:r w:rsidR="00172602" w:rsidRPr="004259D0">
        <w:rPr>
          <w:lang w:val="hr-HR"/>
        </w:rPr>
        <w:t>u posljednje dvije godine izvoz</w:t>
      </w:r>
      <w:r w:rsidR="007573D0" w:rsidRPr="004259D0">
        <w:rPr>
          <w:lang w:val="hr-HR"/>
        </w:rPr>
        <w:t xml:space="preserve"> </w:t>
      </w:r>
      <w:r w:rsidR="00172602" w:rsidRPr="004259D0">
        <w:rPr>
          <w:lang w:val="hr-HR"/>
        </w:rPr>
        <w:t xml:space="preserve">ponovno najsnažnije pridonositi gospodarskom rastu. </w:t>
      </w:r>
      <w:r w:rsidR="00C001FD" w:rsidRPr="004259D0">
        <w:rPr>
          <w:lang w:val="hr-HR"/>
        </w:rPr>
        <w:t xml:space="preserve">Kako će pozitivni učinci pristupanja EU tržištu iščezavati, izvoz roba će u narednom razdoblju u puno većoj mjeri pratiti dinamiku izvozne potražnje pa se, nakon ponovnog blagog smanjenja u 2019., u ostatku projekcijskog razdoblja predviđa tek </w:t>
      </w:r>
      <w:r w:rsidR="00AA7CED" w:rsidRPr="004259D0">
        <w:rPr>
          <w:lang w:val="hr-HR"/>
        </w:rPr>
        <w:t>neznatan</w:t>
      </w:r>
      <w:r w:rsidR="007573D0" w:rsidRPr="004259D0">
        <w:rPr>
          <w:lang w:val="hr-HR"/>
        </w:rPr>
        <w:t xml:space="preserve"> i stabilan</w:t>
      </w:r>
      <w:r w:rsidR="00C001FD" w:rsidRPr="004259D0">
        <w:rPr>
          <w:lang w:val="hr-HR"/>
        </w:rPr>
        <w:t xml:space="preserve"> rast udjela domaćeg izvoza roba na </w:t>
      </w:r>
      <w:r w:rsidR="00AA7CED" w:rsidRPr="004259D0">
        <w:rPr>
          <w:lang w:val="hr-HR"/>
        </w:rPr>
        <w:t>hrvatskim izvoznim</w:t>
      </w:r>
      <w:r w:rsidR="00C001FD" w:rsidRPr="004259D0">
        <w:rPr>
          <w:lang w:val="hr-HR"/>
        </w:rPr>
        <w:t xml:space="preserve"> tržištima.</w:t>
      </w:r>
      <w:r w:rsidR="00FF7005" w:rsidRPr="004259D0">
        <w:rPr>
          <w:lang w:val="hr-HR"/>
        </w:rPr>
        <w:t xml:space="preserve"> </w:t>
      </w:r>
      <w:r w:rsidR="00172602" w:rsidRPr="004259D0">
        <w:rPr>
          <w:lang w:val="hr-HR"/>
        </w:rPr>
        <w:t xml:space="preserve">Iako je u 2018. godini ponovno zabilježena rekordna turistička sezona, primjetno je usporavanje rasta kako fizičkih pokazatelja, tako i prihoda od turizma u usporedbi s prethodnim godinama, naročito u vrhuncu turističke sezone, a što je primarno posljedica </w:t>
      </w:r>
      <w:r w:rsidR="007573D0" w:rsidRPr="004259D0">
        <w:rPr>
          <w:lang w:val="hr-HR"/>
        </w:rPr>
        <w:t>uzastopnih rekorda ostvarenih</w:t>
      </w:r>
      <w:r w:rsidR="00172602" w:rsidRPr="004259D0">
        <w:rPr>
          <w:lang w:val="hr-HR"/>
        </w:rPr>
        <w:t xml:space="preserve"> </w:t>
      </w:r>
      <w:r w:rsidR="007573D0" w:rsidRPr="004259D0">
        <w:rPr>
          <w:lang w:val="hr-HR"/>
        </w:rPr>
        <w:t>u proteklom razdoblju</w:t>
      </w:r>
      <w:r w:rsidR="00172602" w:rsidRPr="004259D0">
        <w:rPr>
          <w:lang w:val="hr-HR"/>
        </w:rPr>
        <w:t xml:space="preserve">. </w:t>
      </w:r>
      <w:r w:rsidR="00C001FD" w:rsidRPr="004259D0">
        <w:rPr>
          <w:lang w:val="hr-HR"/>
        </w:rPr>
        <w:t>Pritom je potrebno napomenu</w:t>
      </w:r>
      <w:r w:rsidR="00B93B7D" w:rsidRPr="004259D0">
        <w:rPr>
          <w:lang w:val="hr-HR"/>
        </w:rPr>
        <w:t xml:space="preserve">ti da, za razliku od izvoza roba, koji bilježi usporavanje rasta počevši </w:t>
      </w:r>
      <w:r w:rsidR="00522128" w:rsidRPr="004259D0">
        <w:rPr>
          <w:lang w:val="hr-HR"/>
        </w:rPr>
        <w:t xml:space="preserve">tek </w:t>
      </w:r>
      <w:r w:rsidR="00B93B7D" w:rsidRPr="004259D0">
        <w:rPr>
          <w:lang w:val="hr-HR"/>
        </w:rPr>
        <w:t xml:space="preserve">od 2018. godine, kod izvoza usluga usporavanje rasta vidljivo je već posljednje tri godine. </w:t>
      </w:r>
      <w:r w:rsidR="00172602" w:rsidRPr="004259D0">
        <w:rPr>
          <w:lang w:val="hr-HR"/>
        </w:rPr>
        <w:t xml:space="preserve">Stopa popunjenosti smještajnih kapaciteta povećana je u 2018. u odnosu na ranije godine, iako je u glavnini turističke sezone bila na nižoj razini nego prethodne dvije godine, pri čemu treba napomenuti kako </w:t>
      </w:r>
      <w:r w:rsidR="00FA523F" w:rsidRPr="004259D0">
        <w:rPr>
          <w:lang w:val="hr-HR"/>
        </w:rPr>
        <w:t>RH</w:t>
      </w:r>
      <w:r w:rsidR="00172602" w:rsidRPr="004259D0">
        <w:rPr>
          <w:lang w:val="hr-HR"/>
        </w:rPr>
        <w:t xml:space="preserve"> ima najizraženiju sezonalnost turizma u usporedbi sa EU konkurentima. </w:t>
      </w:r>
      <w:r w:rsidR="005974ED" w:rsidRPr="004259D0">
        <w:rPr>
          <w:lang w:val="hr-HR"/>
        </w:rPr>
        <w:t>U</w:t>
      </w:r>
      <w:r w:rsidR="00172602" w:rsidRPr="004259D0">
        <w:rPr>
          <w:lang w:val="hr-HR"/>
        </w:rPr>
        <w:t>slijed već visoke d</w:t>
      </w:r>
      <w:r w:rsidR="005974ED" w:rsidRPr="004259D0">
        <w:rPr>
          <w:lang w:val="hr-HR"/>
        </w:rPr>
        <w:t>osegnute razine izvoza usluga,</w:t>
      </w:r>
      <w:r w:rsidR="00172602" w:rsidRPr="004259D0">
        <w:rPr>
          <w:lang w:val="hr-HR"/>
        </w:rPr>
        <w:t xml:space="preserve"> visoke popunjenosti smještajnih kapaciteta u </w:t>
      </w:r>
      <w:r w:rsidR="00AA7CED" w:rsidRPr="004259D0">
        <w:rPr>
          <w:lang w:val="hr-HR"/>
        </w:rPr>
        <w:t>vrhuncu</w:t>
      </w:r>
      <w:r w:rsidR="00172602" w:rsidRPr="004259D0">
        <w:rPr>
          <w:lang w:val="hr-HR"/>
        </w:rPr>
        <w:t xml:space="preserve"> sezone, </w:t>
      </w:r>
      <w:r w:rsidR="00FF7005" w:rsidRPr="004259D0">
        <w:rPr>
          <w:lang w:val="hr-HR"/>
        </w:rPr>
        <w:t xml:space="preserve">kao i </w:t>
      </w:r>
      <w:r w:rsidR="00A60AF2" w:rsidRPr="004259D0">
        <w:rPr>
          <w:lang w:val="hr-HR"/>
        </w:rPr>
        <w:t>infrastrukturn</w:t>
      </w:r>
      <w:r w:rsidR="005974ED" w:rsidRPr="004259D0">
        <w:rPr>
          <w:lang w:val="hr-HR"/>
        </w:rPr>
        <w:t>ih</w:t>
      </w:r>
      <w:r w:rsidR="00A60AF2" w:rsidRPr="004259D0">
        <w:rPr>
          <w:lang w:val="hr-HR"/>
        </w:rPr>
        <w:t xml:space="preserve"> </w:t>
      </w:r>
      <w:r w:rsidR="00FF7005" w:rsidRPr="004259D0">
        <w:rPr>
          <w:lang w:val="hr-HR"/>
        </w:rPr>
        <w:t>ograničenosti</w:t>
      </w:r>
      <w:r w:rsidR="00AC460F" w:rsidRPr="004259D0">
        <w:rPr>
          <w:lang w:val="hr-HR"/>
        </w:rPr>
        <w:t xml:space="preserve">, </w:t>
      </w:r>
      <w:r w:rsidR="00172602" w:rsidRPr="004259D0">
        <w:rPr>
          <w:lang w:val="hr-HR"/>
        </w:rPr>
        <w:t xml:space="preserve">u srednjoročnom razdoblju očekuje se realni rast izvoza usluga na nižim razinama no što je to bio slučaj u prethodnim godinama. </w:t>
      </w:r>
      <w:r w:rsidR="005974ED" w:rsidRPr="004259D0">
        <w:rPr>
          <w:lang w:val="hr-HR"/>
        </w:rPr>
        <w:t>Nadalje</w:t>
      </w:r>
      <w:r w:rsidR="00172602" w:rsidRPr="004259D0">
        <w:rPr>
          <w:lang w:val="hr-HR"/>
        </w:rPr>
        <w:t xml:space="preserve">, </w:t>
      </w:r>
      <w:r w:rsidR="00FF7005" w:rsidRPr="004259D0">
        <w:rPr>
          <w:lang w:val="hr-HR"/>
        </w:rPr>
        <w:t>prevladavajuće okolnosti u međunarodnom okruženju</w:t>
      </w:r>
      <w:r w:rsidR="00172602" w:rsidRPr="004259D0">
        <w:rPr>
          <w:lang w:val="hr-HR"/>
        </w:rPr>
        <w:t xml:space="preserve"> </w:t>
      </w:r>
      <w:r w:rsidR="005974ED" w:rsidRPr="004259D0">
        <w:rPr>
          <w:lang w:val="hr-HR"/>
        </w:rPr>
        <w:t>također će</w:t>
      </w:r>
      <w:r w:rsidR="00FF7005" w:rsidRPr="004259D0">
        <w:rPr>
          <w:lang w:val="hr-HR"/>
        </w:rPr>
        <w:t xml:space="preserve"> </w:t>
      </w:r>
      <w:r w:rsidR="00172602" w:rsidRPr="004259D0">
        <w:rPr>
          <w:lang w:val="hr-HR"/>
        </w:rPr>
        <w:t xml:space="preserve">negativno utjecati na domaći turizam, a odnose </w:t>
      </w:r>
      <w:r w:rsidR="00FF7005" w:rsidRPr="004259D0">
        <w:rPr>
          <w:lang w:val="hr-HR"/>
        </w:rPr>
        <w:t xml:space="preserve">se </w:t>
      </w:r>
      <w:r w:rsidR="00172602" w:rsidRPr="004259D0">
        <w:rPr>
          <w:lang w:val="hr-HR"/>
        </w:rPr>
        <w:t xml:space="preserve">na </w:t>
      </w:r>
      <w:r w:rsidR="00FF7005" w:rsidRPr="004259D0">
        <w:rPr>
          <w:lang w:val="hr-HR"/>
        </w:rPr>
        <w:t>ponovno jačanje mediteranske konkurencije, povećanje</w:t>
      </w:r>
      <w:r w:rsidR="00172602" w:rsidRPr="004259D0">
        <w:rPr>
          <w:lang w:val="hr-HR"/>
        </w:rPr>
        <w:t xml:space="preserve"> neizvjesnosti glede svjetskih gospodarskih kretanja, slabljenje gospodarskog rasta </w:t>
      </w:r>
      <w:r w:rsidR="00AA7CED" w:rsidRPr="004259D0">
        <w:rPr>
          <w:lang w:val="hr-HR"/>
        </w:rPr>
        <w:t>naših glavnih emitivnih tržišta te</w:t>
      </w:r>
      <w:r w:rsidR="00172602" w:rsidRPr="004259D0">
        <w:rPr>
          <w:lang w:val="hr-HR"/>
        </w:rPr>
        <w:t xml:space="preserve"> izlazak Ujedinjenog Kraljevstva iz EU-a</w:t>
      </w:r>
      <w:r w:rsidR="00172602" w:rsidRPr="004259D0">
        <w:rPr>
          <w:rStyle w:val="FootnoteReference"/>
          <w:lang w:val="hr-HR"/>
        </w:rPr>
        <w:footnoteReference w:id="14"/>
      </w:r>
      <w:r w:rsidR="00FF7005" w:rsidRPr="004259D0">
        <w:rPr>
          <w:lang w:val="hr-HR"/>
        </w:rPr>
        <w:t>.</w:t>
      </w:r>
      <w:r w:rsidR="00172602" w:rsidRPr="004259D0">
        <w:rPr>
          <w:lang w:val="hr-HR"/>
        </w:rPr>
        <w:t xml:space="preserve"> </w:t>
      </w:r>
      <w:r w:rsidR="005974ED" w:rsidRPr="004259D0">
        <w:rPr>
          <w:lang w:val="hr-HR"/>
        </w:rPr>
        <w:t xml:space="preserve">U uvjetima </w:t>
      </w:r>
      <w:r w:rsidR="00AA7CED" w:rsidRPr="004259D0">
        <w:rPr>
          <w:lang w:val="hr-HR"/>
        </w:rPr>
        <w:t>jačanja</w:t>
      </w:r>
      <w:r w:rsidR="005974ED" w:rsidRPr="004259D0">
        <w:rPr>
          <w:lang w:val="hr-HR"/>
        </w:rPr>
        <w:t xml:space="preserve"> konkurencije, važno je napomenuti kako se očekuje da će povoljno na prosječnu potrošnju turista djelovati povećanje kvalitete turističkih usluga. </w:t>
      </w:r>
      <w:r w:rsidR="00AF6D72" w:rsidRPr="004259D0">
        <w:rPr>
          <w:lang w:val="hr-HR"/>
        </w:rPr>
        <w:t xml:space="preserve">Na cjenovnu konkurentnost cjelokupnog izvoznog sektora u narednom razdoblju nepovoljno </w:t>
      </w:r>
      <w:r w:rsidR="008250E5" w:rsidRPr="004259D0">
        <w:rPr>
          <w:lang w:val="hr-HR"/>
        </w:rPr>
        <w:t xml:space="preserve">će </w:t>
      </w:r>
      <w:r w:rsidR="00AF6D72" w:rsidRPr="004259D0">
        <w:rPr>
          <w:lang w:val="hr-HR"/>
        </w:rPr>
        <w:t xml:space="preserve">djelovati blaga aprecijacija realnih efektivnih tečajeva kune, u uvjetima bržeg rasta </w:t>
      </w:r>
      <w:r w:rsidR="00AA7CED" w:rsidRPr="004259D0">
        <w:rPr>
          <w:lang w:val="hr-HR"/>
        </w:rPr>
        <w:t xml:space="preserve">domaćeg </w:t>
      </w:r>
      <w:r w:rsidR="00AF6D72" w:rsidRPr="004259D0">
        <w:rPr>
          <w:lang w:val="hr-HR"/>
        </w:rPr>
        <w:t xml:space="preserve">jediničnog troška rada u odnosu na EU. Pritom treba spomenuti kako su marže </w:t>
      </w:r>
      <w:r w:rsidR="008250E5" w:rsidRPr="004259D0">
        <w:rPr>
          <w:lang w:val="hr-HR"/>
        </w:rPr>
        <w:t>u izvoznom sektoru, koji je u velikoj mjeri oslonjen na cjenovnu konkurentnost,</w:t>
      </w:r>
      <w:r w:rsidR="00AF6D72" w:rsidRPr="004259D0">
        <w:rPr>
          <w:lang w:val="hr-HR"/>
        </w:rPr>
        <w:t xml:space="preserve"> </w:t>
      </w:r>
      <w:r w:rsidR="00BB2333" w:rsidRPr="004259D0">
        <w:rPr>
          <w:lang w:val="hr-HR"/>
        </w:rPr>
        <w:t>u recentnom razdoblju</w:t>
      </w:r>
      <w:r w:rsidR="00AF6D72" w:rsidRPr="004259D0">
        <w:rPr>
          <w:lang w:val="hr-HR"/>
        </w:rPr>
        <w:t xml:space="preserve"> bile </w:t>
      </w:r>
      <w:r w:rsidR="008250E5" w:rsidRPr="004259D0">
        <w:rPr>
          <w:lang w:val="hr-HR"/>
        </w:rPr>
        <w:t xml:space="preserve">pod pritiskom </w:t>
      </w:r>
      <w:r w:rsidR="00AF6D72" w:rsidRPr="004259D0">
        <w:rPr>
          <w:lang w:val="hr-HR"/>
        </w:rPr>
        <w:t xml:space="preserve">uslijed </w:t>
      </w:r>
      <w:r w:rsidR="008250E5" w:rsidRPr="004259D0">
        <w:rPr>
          <w:lang w:val="hr-HR"/>
        </w:rPr>
        <w:t>rasta troškova rada i energenata.</w:t>
      </w:r>
      <w:r w:rsidR="00AF6D72" w:rsidRPr="004259D0">
        <w:rPr>
          <w:lang w:val="hr-HR"/>
        </w:rPr>
        <w:t xml:space="preserve">  </w:t>
      </w:r>
    </w:p>
    <w:p w14:paraId="0ED3E460" w14:textId="2666122F" w:rsidR="00090F53" w:rsidRPr="004259D0" w:rsidRDefault="00103F3C" w:rsidP="00090F53">
      <w:pPr>
        <w:jc w:val="both"/>
        <w:rPr>
          <w:lang w:val="hr-HR"/>
        </w:rPr>
      </w:pPr>
      <w:r w:rsidRPr="004259D0">
        <w:rPr>
          <w:lang w:val="hr-HR"/>
        </w:rPr>
        <w:t xml:space="preserve">Nakon pet </w:t>
      </w:r>
      <w:r w:rsidR="00AA7CED" w:rsidRPr="004259D0">
        <w:rPr>
          <w:lang w:val="hr-HR"/>
        </w:rPr>
        <w:t xml:space="preserve">godina </w:t>
      </w:r>
      <w:r w:rsidRPr="004259D0">
        <w:rPr>
          <w:lang w:val="hr-HR"/>
        </w:rPr>
        <w:t xml:space="preserve">izraženih indeksa elastičnosti uvoza u odnosu na konačnu potražnju, povezanih prije svega s kontinuirano snažnim rastom izvoza </w:t>
      </w:r>
      <w:r w:rsidR="00A42832" w:rsidRPr="004259D0">
        <w:rPr>
          <w:lang w:val="hr-HR"/>
        </w:rPr>
        <w:t xml:space="preserve">roba i usluga </w:t>
      </w:r>
      <w:r w:rsidRPr="004259D0">
        <w:rPr>
          <w:lang w:val="hr-HR"/>
        </w:rPr>
        <w:t xml:space="preserve">kojeg karakterizira znatna uvozna ovisnost, u 2018. je, s naglašenim usporavanjem rasta izvoza, navedena elastičnost ostvarena na </w:t>
      </w:r>
      <w:r w:rsidR="00A42832" w:rsidRPr="004259D0">
        <w:rPr>
          <w:lang w:val="hr-HR"/>
        </w:rPr>
        <w:t xml:space="preserve">nešto </w:t>
      </w:r>
      <w:r w:rsidRPr="004259D0">
        <w:rPr>
          <w:lang w:val="hr-HR"/>
        </w:rPr>
        <w:t xml:space="preserve">nižoj razini. </w:t>
      </w:r>
      <w:r w:rsidR="00090F53" w:rsidRPr="004259D0">
        <w:rPr>
          <w:lang w:val="hr-HR"/>
        </w:rPr>
        <w:t xml:space="preserve">U </w:t>
      </w:r>
      <w:r w:rsidR="00261D45" w:rsidRPr="004259D0">
        <w:rPr>
          <w:lang w:val="hr-HR"/>
        </w:rPr>
        <w:t>srednjoročnom</w:t>
      </w:r>
      <w:r w:rsidR="00090F53" w:rsidRPr="004259D0">
        <w:rPr>
          <w:lang w:val="hr-HR"/>
        </w:rPr>
        <w:t xml:space="preserve"> razdoblju, u skladu s </w:t>
      </w:r>
      <w:r w:rsidR="006E0597" w:rsidRPr="004259D0">
        <w:rPr>
          <w:lang w:val="hr-HR"/>
        </w:rPr>
        <w:t xml:space="preserve">projiciranim </w:t>
      </w:r>
      <w:r w:rsidR="00090F53" w:rsidRPr="004259D0">
        <w:rPr>
          <w:lang w:val="hr-HR"/>
        </w:rPr>
        <w:t>kretanjem konačne potražnje, očekuje se postupno usporavanje re</w:t>
      </w:r>
      <w:r w:rsidR="006E0597" w:rsidRPr="004259D0">
        <w:rPr>
          <w:lang w:val="hr-HR"/>
        </w:rPr>
        <w:t>alnog rasta uvoza roba i usluga. Pritom</w:t>
      </w:r>
      <w:r w:rsidR="00090F53" w:rsidRPr="004259D0">
        <w:rPr>
          <w:lang w:val="hr-HR"/>
        </w:rPr>
        <w:t xml:space="preserve"> se predviđa da će visoka</w:t>
      </w:r>
      <w:r w:rsidR="006E0597" w:rsidRPr="004259D0">
        <w:rPr>
          <w:lang w:val="hr-HR"/>
        </w:rPr>
        <w:t xml:space="preserve"> i rastuća</w:t>
      </w:r>
      <w:r w:rsidR="00090F53" w:rsidRPr="004259D0">
        <w:rPr>
          <w:lang w:val="hr-HR"/>
        </w:rPr>
        <w:t xml:space="preserve"> razina uvozne</w:t>
      </w:r>
      <w:r w:rsidR="006E0597" w:rsidRPr="004259D0">
        <w:rPr>
          <w:lang w:val="hr-HR"/>
        </w:rPr>
        <w:t xml:space="preserve"> ovisnosti domaćeg gospodarstva,</w:t>
      </w:r>
      <w:r w:rsidR="00090F53" w:rsidRPr="004259D0">
        <w:rPr>
          <w:lang w:val="hr-HR"/>
        </w:rPr>
        <w:t xml:space="preserve"> </w:t>
      </w:r>
      <w:r w:rsidR="006E0597" w:rsidRPr="004259D0">
        <w:rPr>
          <w:lang w:val="hr-HR"/>
        </w:rPr>
        <w:t>koja se ogleda u</w:t>
      </w:r>
      <w:r w:rsidR="00090F53" w:rsidRPr="004259D0">
        <w:rPr>
          <w:lang w:val="hr-HR"/>
        </w:rPr>
        <w:t xml:space="preserve"> </w:t>
      </w:r>
      <w:r w:rsidR="006E0597" w:rsidRPr="004259D0">
        <w:rPr>
          <w:lang w:val="hr-HR"/>
        </w:rPr>
        <w:t>udjelima uvoznih komponenti pojedinačnih sastavnica konačne potražnje s rashodne strane BDP-a,</w:t>
      </w:r>
      <w:r w:rsidR="00090F53" w:rsidRPr="004259D0">
        <w:rPr>
          <w:lang w:val="hr-HR"/>
        </w:rPr>
        <w:t xml:space="preserve"> </w:t>
      </w:r>
      <w:r w:rsidR="006E0597" w:rsidRPr="004259D0">
        <w:rPr>
          <w:lang w:val="hr-HR"/>
        </w:rPr>
        <w:t xml:space="preserve">uvjetovati da se elastičnost uvoza u odnosu na konačnu potražnju </w:t>
      </w:r>
      <w:r w:rsidR="00D62F53" w:rsidRPr="004259D0">
        <w:rPr>
          <w:lang w:val="hr-HR"/>
        </w:rPr>
        <w:t>stabilizira</w:t>
      </w:r>
      <w:r w:rsidR="006E0597" w:rsidRPr="004259D0">
        <w:rPr>
          <w:lang w:val="hr-HR"/>
        </w:rPr>
        <w:t xml:space="preserve"> na visokim razinama</w:t>
      </w:r>
      <w:r w:rsidR="00A42832" w:rsidRPr="004259D0">
        <w:rPr>
          <w:lang w:val="hr-HR"/>
        </w:rPr>
        <w:t xml:space="preserve"> </w:t>
      </w:r>
      <w:r w:rsidR="006E0597" w:rsidRPr="004259D0">
        <w:rPr>
          <w:lang w:val="hr-HR"/>
        </w:rPr>
        <w:t>do kraja</w:t>
      </w:r>
      <w:r w:rsidR="00A42832" w:rsidRPr="004259D0">
        <w:rPr>
          <w:lang w:val="hr-HR"/>
        </w:rPr>
        <w:t xml:space="preserve"> razdoblj</w:t>
      </w:r>
      <w:r w:rsidR="00261D45" w:rsidRPr="004259D0">
        <w:rPr>
          <w:lang w:val="hr-HR"/>
        </w:rPr>
        <w:t>a</w:t>
      </w:r>
      <w:r w:rsidR="00A42832" w:rsidRPr="004259D0">
        <w:rPr>
          <w:lang w:val="hr-HR"/>
        </w:rPr>
        <w:t>, čak</w:t>
      </w:r>
      <w:r w:rsidR="00090F53" w:rsidRPr="004259D0">
        <w:rPr>
          <w:lang w:val="hr-HR"/>
        </w:rPr>
        <w:t xml:space="preserve"> i uz nešto niže stope gospodarskog rasta. Pritom valja spomenuti da će u promatranom razdoblju najdinamičnija sastavnica BDP-a s posebno izraženom uvoznom </w:t>
      </w:r>
      <w:r w:rsidR="00D62F53" w:rsidRPr="004259D0">
        <w:rPr>
          <w:lang w:val="hr-HR"/>
        </w:rPr>
        <w:t>komponentom</w:t>
      </w:r>
      <w:r w:rsidR="00090F53" w:rsidRPr="004259D0">
        <w:rPr>
          <w:lang w:val="hr-HR"/>
        </w:rPr>
        <w:t xml:space="preserve"> biti investicijska potrošnja, </w:t>
      </w:r>
      <w:r w:rsidR="00A42832" w:rsidRPr="004259D0">
        <w:rPr>
          <w:lang w:val="hr-HR"/>
        </w:rPr>
        <w:t>za razliku od</w:t>
      </w:r>
      <w:r w:rsidR="00090F53" w:rsidRPr="004259D0">
        <w:rPr>
          <w:lang w:val="hr-HR"/>
        </w:rPr>
        <w:t xml:space="preserve"> izvoza roba i usluga </w:t>
      </w:r>
      <w:r w:rsidR="00D62F53" w:rsidRPr="004259D0">
        <w:rPr>
          <w:lang w:val="hr-HR"/>
        </w:rPr>
        <w:t xml:space="preserve">koji je to bio </w:t>
      </w:r>
      <w:r w:rsidR="00BC4DF8" w:rsidRPr="004259D0">
        <w:rPr>
          <w:lang w:val="hr-HR"/>
        </w:rPr>
        <w:t>u proteklom razdoblju.</w:t>
      </w:r>
      <w:r w:rsidR="00D62F53" w:rsidRPr="004259D0">
        <w:rPr>
          <w:lang w:val="hr-HR"/>
        </w:rPr>
        <w:t xml:space="preserve"> </w:t>
      </w:r>
      <w:r w:rsidR="008E6C55" w:rsidRPr="004259D0">
        <w:rPr>
          <w:lang w:val="hr-HR"/>
        </w:rPr>
        <w:t>Slijedom svega navedenog,</w:t>
      </w:r>
      <w:r w:rsidR="00D62F53" w:rsidRPr="004259D0">
        <w:rPr>
          <w:lang w:val="hr-HR"/>
        </w:rPr>
        <w:t xml:space="preserve"> uz projiciranu putanju </w:t>
      </w:r>
      <w:r w:rsidR="00090F53" w:rsidRPr="004259D0">
        <w:rPr>
          <w:lang w:val="hr-HR"/>
        </w:rPr>
        <w:t>gospodarske aktivnosti</w:t>
      </w:r>
      <w:r w:rsidR="00D62F53" w:rsidRPr="004259D0">
        <w:rPr>
          <w:lang w:val="hr-HR"/>
        </w:rPr>
        <w:t>,</w:t>
      </w:r>
      <w:r w:rsidR="00090F53" w:rsidRPr="004259D0">
        <w:rPr>
          <w:lang w:val="hr-HR"/>
        </w:rPr>
        <w:t xml:space="preserve"> saldo razmjene roba i usluga </w:t>
      </w:r>
      <w:r w:rsidR="00D62F53" w:rsidRPr="004259D0">
        <w:rPr>
          <w:lang w:val="hr-HR"/>
        </w:rPr>
        <w:t xml:space="preserve">izražen u tekućim cijenama, </w:t>
      </w:r>
      <w:r w:rsidR="008E6C55" w:rsidRPr="004259D0">
        <w:rPr>
          <w:lang w:val="hr-HR"/>
        </w:rPr>
        <w:t xml:space="preserve">poprimit će negativan predznak 2020. te će se nastaviti pogoršavati do kraja razdoblja. </w:t>
      </w:r>
      <w:r w:rsidR="00090F53" w:rsidRPr="004259D0">
        <w:rPr>
          <w:lang w:val="hr-HR"/>
        </w:rPr>
        <w:t xml:space="preserve">U skladu s tim, doprinos neto izvoza gospodarskom rastu, iako </w:t>
      </w:r>
      <w:r w:rsidR="00261D45" w:rsidRPr="004259D0">
        <w:rPr>
          <w:lang w:val="hr-HR"/>
        </w:rPr>
        <w:t xml:space="preserve">blago </w:t>
      </w:r>
      <w:r w:rsidR="00090F53" w:rsidRPr="004259D0">
        <w:rPr>
          <w:lang w:val="hr-HR"/>
        </w:rPr>
        <w:t>padajući, bit će negativan kroz čitavo razdoblje, i to na apsolutno višim razinama nego što se to očekivalo u prethodnim projekcijama</w:t>
      </w:r>
      <w:r w:rsidR="004652F5" w:rsidRPr="004259D0">
        <w:rPr>
          <w:lang w:val="hr-HR"/>
        </w:rPr>
        <w:t>,</w:t>
      </w:r>
      <w:r w:rsidR="00090F53" w:rsidRPr="004259D0">
        <w:rPr>
          <w:lang w:val="hr-HR"/>
        </w:rPr>
        <w:t xml:space="preserve"> </w:t>
      </w:r>
      <w:r w:rsidR="004652F5" w:rsidRPr="004259D0">
        <w:rPr>
          <w:lang w:val="hr-HR"/>
        </w:rPr>
        <w:t xml:space="preserve">prvenstveno </w:t>
      </w:r>
      <w:r w:rsidR="00261D45" w:rsidRPr="004259D0">
        <w:rPr>
          <w:lang w:val="hr-HR"/>
        </w:rPr>
        <w:t>radi</w:t>
      </w:r>
      <w:r w:rsidR="004652F5" w:rsidRPr="004259D0">
        <w:rPr>
          <w:lang w:val="hr-HR"/>
        </w:rPr>
        <w:t xml:space="preserve"> spomenuti</w:t>
      </w:r>
      <w:r w:rsidR="00261D45" w:rsidRPr="004259D0">
        <w:rPr>
          <w:lang w:val="hr-HR"/>
        </w:rPr>
        <w:t>h</w:t>
      </w:r>
      <w:r w:rsidR="004652F5" w:rsidRPr="004259D0">
        <w:rPr>
          <w:lang w:val="hr-HR"/>
        </w:rPr>
        <w:t xml:space="preserve"> korekcija dinamike izvoza</w:t>
      </w:r>
      <w:r w:rsidR="00090F53" w:rsidRPr="004259D0">
        <w:rPr>
          <w:lang w:val="hr-HR"/>
        </w:rPr>
        <w:t>.</w:t>
      </w:r>
      <w:r w:rsidR="004652F5" w:rsidRPr="004259D0">
        <w:rPr>
          <w:lang w:val="hr-HR"/>
        </w:rPr>
        <w:t xml:space="preserve"> Rast uvoza usluga ostati će dinamičniji od rasta uvoza roba u čitavom razdoblju.</w:t>
      </w:r>
    </w:p>
    <w:p w14:paraId="7D7D2DFF" w14:textId="5120A1AD" w:rsidR="00172602" w:rsidRPr="004259D0" w:rsidRDefault="00172602" w:rsidP="00172602">
      <w:pPr>
        <w:jc w:val="both"/>
        <w:rPr>
          <w:lang w:val="hr-HR"/>
        </w:rPr>
      </w:pPr>
      <w:r w:rsidRPr="004259D0">
        <w:rPr>
          <w:lang w:val="hr-HR"/>
        </w:rPr>
        <w:t>Prošlogodišnjim Programom konvergencije projiciran je rast ekonomske aktivnosti od 2,8% u 2018. godini, dok je ostvarenje bilo za</w:t>
      </w:r>
      <w:r w:rsidR="00A01B4B" w:rsidRPr="004259D0">
        <w:rPr>
          <w:lang w:val="hr-HR"/>
        </w:rPr>
        <w:t xml:space="preserve"> </w:t>
      </w:r>
      <w:r w:rsidR="00261D45" w:rsidRPr="004259D0">
        <w:rPr>
          <w:lang w:val="hr-HR"/>
        </w:rPr>
        <w:t>preko</w:t>
      </w:r>
      <w:r w:rsidRPr="004259D0">
        <w:rPr>
          <w:lang w:val="hr-HR"/>
        </w:rPr>
        <w:t xml:space="preserve"> 0,1 postotni bod niže od očekivanog. Najveće odstupanje od projekcije proizlazi iz ostvarenja izvoza roba i usluga (za 1,3 postotni bod manji doprinos BDP-u) i to </w:t>
      </w:r>
      <w:r w:rsidR="002536B9" w:rsidRPr="004259D0">
        <w:rPr>
          <w:lang w:val="hr-HR"/>
        </w:rPr>
        <w:t>u većoj mjeri</w:t>
      </w:r>
      <w:r w:rsidRPr="004259D0">
        <w:rPr>
          <w:lang w:val="hr-HR"/>
        </w:rPr>
        <w:t xml:space="preserve"> radi slabijeg ostvarenja izvoza roba </w:t>
      </w:r>
      <w:r w:rsidR="002536B9" w:rsidRPr="004259D0">
        <w:rPr>
          <w:lang w:val="hr-HR"/>
        </w:rPr>
        <w:t xml:space="preserve">te u manjoj mjeri radi slabijeg </w:t>
      </w:r>
      <w:r w:rsidR="00813920" w:rsidRPr="004259D0">
        <w:rPr>
          <w:lang w:val="hr-HR"/>
        </w:rPr>
        <w:t xml:space="preserve">ostvarenja izvoza usluga </w:t>
      </w:r>
      <w:r w:rsidRPr="004259D0">
        <w:rPr>
          <w:lang w:val="hr-HR"/>
        </w:rPr>
        <w:t>od predvi</w:t>
      </w:r>
      <w:r w:rsidR="002536B9" w:rsidRPr="004259D0">
        <w:rPr>
          <w:lang w:val="hr-HR"/>
        </w:rPr>
        <w:t>đenog</w:t>
      </w:r>
      <w:r w:rsidRPr="004259D0">
        <w:rPr>
          <w:lang w:val="hr-HR"/>
        </w:rPr>
        <w:t xml:space="preserve">. Osim toga, značajnije negativno odstupanje (-0,5 postotnih bodova u terminima doprinosa rastu) proizlazi i iz ostvarenja bruto investicija u fiksni kapital, i to </w:t>
      </w:r>
      <w:r w:rsidR="00813920" w:rsidRPr="004259D0">
        <w:rPr>
          <w:lang w:val="hr-HR"/>
        </w:rPr>
        <w:t>isključivo</w:t>
      </w:r>
      <w:r w:rsidRPr="004259D0">
        <w:rPr>
          <w:lang w:val="hr-HR"/>
        </w:rPr>
        <w:t xml:space="preserve"> radi nepovoljnijeg ostvarenja privatnih investicija, dok su investicije opće države ostvarile znatno snažniji rast od očekivanog. S druge strane, povoljno je na rast BDP-a djelovao slabiji rast uvoza roba i usluga od predviđenog (manji negativan doprinos uvoza za 0,9 postotnih bodova), kao posljedica nižeg rasta konačne potražnje od očekivanog. Potrošnja kućanstava i promjena zaliha blago su pozitivnije pridonijeli BDP-u od očekivanog (za 0,3 postotna boda svaka), dok je doprinos državne potrošnje bio neznatno viši od previđenog (za 0,1 postotni bod). </w:t>
      </w:r>
    </w:p>
    <w:p w14:paraId="4EEDE1EC" w14:textId="77777777" w:rsidR="002C7816" w:rsidRPr="004259D0" w:rsidRDefault="002C7816" w:rsidP="00A86162">
      <w:pPr>
        <w:jc w:val="both"/>
        <w:rPr>
          <w:lang w:val="hr-HR"/>
        </w:rPr>
      </w:pPr>
    </w:p>
    <w:p w14:paraId="17010C8E" w14:textId="647824B6" w:rsidR="007F779C" w:rsidRPr="004259D0" w:rsidRDefault="00A86162" w:rsidP="008160DF">
      <w:pPr>
        <w:pStyle w:val="Heading2"/>
        <w:numPr>
          <w:ilvl w:val="1"/>
          <w:numId w:val="1"/>
        </w:numPr>
        <w:spacing w:after="240"/>
        <w:rPr>
          <w:lang w:val="hr-HR"/>
        </w:rPr>
      </w:pPr>
      <w:bookmarkStart w:id="11" w:name="_Toc6418610"/>
      <w:r w:rsidRPr="004259D0">
        <w:rPr>
          <w:lang w:val="hr-HR"/>
        </w:rPr>
        <w:t>Ciklička kretanja</w:t>
      </w:r>
      <w:bookmarkEnd w:id="11"/>
      <w:r w:rsidRPr="004259D0">
        <w:rPr>
          <w:lang w:val="hr-HR"/>
        </w:rPr>
        <w:t xml:space="preserve"> </w:t>
      </w:r>
    </w:p>
    <w:p w14:paraId="6BC07020" w14:textId="2D60E71E" w:rsidR="00F56DFC" w:rsidRPr="004259D0" w:rsidRDefault="00F56DFC" w:rsidP="00172602">
      <w:pPr>
        <w:jc w:val="both"/>
        <w:rPr>
          <w:lang w:val="hr-HR"/>
        </w:rPr>
      </w:pPr>
      <w:r w:rsidRPr="004259D0">
        <w:rPr>
          <w:lang w:val="hr-HR"/>
        </w:rPr>
        <w:t>Nakon što je u razdoblju između 2009. i</w:t>
      </w:r>
      <w:r w:rsidR="00F74278">
        <w:rPr>
          <w:lang w:val="hr-HR"/>
        </w:rPr>
        <w:t xml:space="preserve"> 2015. godine potencijalni BDP </w:t>
      </w:r>
      <w:r w:rsidRPr="004259D0">
        <w:rPr>
          <w:lang w:val="hr-HR"/>
        </w:rPr>
        <w:t>padao ili neznatno rastao, od 2016. godine on ponovno raste po nešto višim stopama, da bi u 2018. njegov rast dosegao 1,6%. Najveći doprinos rastu u 2018. došao je od višefaktorske produktivnosti, čiji trend nakon 2013. postupno ubrzava dinamiku rasta. Blago niži doprinos rastu došao je od faktora kapitala, dok je kod faktora rada zabilježen blago negativan doprinos potencijalnom rastu, prvenstveno kao posljedica smanjenja broja radno sposobnih stanovnika.</w:t>
      </w:r>
    </w:p>
    <w:p w14:paraId="4AD6784E" w14:textId="77777777" w:rsidR="00A86162" w:rsidRPr="004259D0" w:rsidRDefault="000865CF" w:rsidP="000865CF">
      <w:pPr>
        <w:spacing w:after="0" w:line="240" w:lineRule="auto"/>
        <w:rPr>
          <w:i/>
          <w:lang w:val="hr-HR"/>
        </w:rPr>
      </w:pPr>
      <w:bookmarkStart w:id="12" w:name="_Toc6418643"/>
      <w:r w:rsidRPr="004259D0">
        <w:rPr>
          <w:i/>
          <w:lang w:val="hr-HR"/>
        </w:rPr>
        <w:t xml:space="preserve">Grafikon </w:t>
      </w:r>
      <w:r w:rsidR="004D031B" w:rsidRPr="004259D0">
        <w:rPr>
          <w:i/>
          <w:lang w:val="hr-HR"/>
        </w:rPr>
        <w:fldChar w:fldCharType="begin"/>
      </w:r>
      <w:r w:rsidR="004D031B" w:rsidRPr="004259D0">
        <w:rPr>
          <w:i/>
          <w:lang w:val="hr-HR"/>
        </w:rPr>
        <w:instrText xml:space="preserve"> STYLEREF 1 \s </w:instrText>
      </w:r>
      <w:r w:rsidR="004D031B" w:rsidRPr="004259D0">
        <w:rPr>
          <w:i/>
          <w:lang w:val="hr-HR"/>
        </w:rPr>
        <w:fldChar w:fldCharType="separate"/>
      </w:r>
      <w:r w:rsidR="00572AFD">
        <w:rPr>
          <w:i/>
          <w:noProof/>
          <w:lang w:val="hr-HR"/>
        </w:rPr>
        <w:t>2</w:t>
      </w:r>
      <w:r w:rsidR="004D031B" w:rsidRPr="004259D0">
        <w:rPr>
          <w:i/>
          <w:lang w:val="hr-HR"/>
        </w:rPr>
        <w:fldChar w:fldCharType="end"/>
      </w:r>
      <w:r w:rsidR="004D031B" w:rsidRPr="004259D0">
        <w:rPr>
          <w:i/>
          <w:lang w:val="hr-HR"/>
        </w:rPr>
        <w:t>.</w:t>
      </w:r>
      <w:r w:rsidR="004D031B" w:rsidRPr="004259D0">
        <w:rPr>
          <w:i/>
          <w:lang w:val="hr-HR"/>
        </w:rPr>
        <w:fldChar w:fldCharType="begin"/>
      </w:r>
      <w:r w:rsidR="004D031B" w:rsidRPr="004259D0">
        <w:rPr>
          <w:i/>
          <w:lang w:val="hr-HR"/>
        </w:rPr>
        <w:instrText xml:space="preserve"> SEQ Grafikon \* ARABIC \s 1 </w:instrText>
      </w:r>
      <w:r w:rsidR="004D031B" w:rsidRPr="004259D0">
        <w:rPr>
          <w:i/>
          <w:lang w:val="hr-HR"/>
        </w:rPr>
        <w:fldChar w:fldCharType="separate"/>
      </w:r>
      <w:r w:rsidR="00572AFD">
        <w:rPr>
          <w:i/>
          <w:noProof/>
          <w:lang w:val="hr-HR"/>
        </w:rPr>
        <w:t>1</w:t>
      </w:r>
      <w:r w:rsidR="004D031B" w:rsidRPr="004259D0">
        <w:rPr>
          <w:i/>
          <w:lang w:val="hr-HR"/>
        </w:rPr>
        <w:fldChar w:fldCharType="end"/>
      </w:r>
      <w:r w:rsidRPr="004259D0">
        <w:rPr>
          <w:i/>
          <w:lang w:val="hr-HR"/>
        </w:rPr>
        <w:t xml:space="preserve">. </w:t>
      </w:r>
      <w:r w:rsidR="00A86162" w:rsidRPr="004259D0">
        <w:rPr>
          <w:i/>
          <w:lang w:val="hr-HR"/>
        </w:rPr>
        <w:t>Doprinosi rastu potencijalnog BDP-a</w:t>
      </w:r>
      <w:bookmarkEnd w:id="12"/>
    </w:p>
    <w:p w14:paraId="5D9A8145" w14:textId="522945E0" w:rsidR="00172602" w:rsidRPr="004259D0" w:rsidRDefault="00CE37B4" w:rsidP="00172602">
      <w:pPr>
        <w:spacing w:after="0" w:line="240" w:lineRule="auto"/>
        <w:rPr>
          <w:i/>
          <w:lang w:val="hr-HR"/>
        </w:rPr>
      </w:pPr>
      <w:r w:rsidRPr="004259D0">
        <w:rPr>
          <w:noProof/>
          <w:lang w:val="hr-HR" w:eastAsia="hr-HR"/>
        </w:rPr>
        <w:drawing>
          <wp:inline distT="0" distB="0" distL="0" distR="0" wp14:anchorId="20234A31" wp14:editId="4DE11639">
            <wp:extent cx="5760720" cy="2510745"/>
            <wp:effectExtent l="0" t="0" r="0" b="4445"/>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2510745"/>
                    </a:xfrm>
                    <a:prstGeom prst="rect">
                      <a:avLst/>
                    </a:prstGeom>
                    <a:noFill/>
                    <a:ln>
                      <a:noFill/>
                    </a:ln>
                  </pic:spPr>
                </pic:pic>
              </a:graphicData>
            </a:graphic>
          </wp:inline>
        </w:drawing>
      </w:r>
    </w:p>
    <w:p w14:paraId="20D21B5C" w14:textId="5AFC33A6" w:rsidR="00A86162" w:rsidRPr="004259D0" w:rsidRDefault="00A86162" w:rsidP="00A86162">
      <w:pPr>
        <w:jc w:val="both"/>
        <w:rPr>
          <w:i/>
          <w:sz w:val="20"/>
          <w:lang w:val="hr-HR"/>
        </w:rPr>
      </w:pPr>
      <w:r w:rsidRPr="004259D0">
        <w:rPr>
          <w:i/>
          <w:sz w:val="20"/>
          <w:lang w:val="hr-HR"/>
        </w:rPr>
        <w:t>Izvor:</w:t>
      </w:r>
      <w:r w:rsidR="00EA5260" w:rsidRPr="004259D0">
        <w:rPr>
          <w:i/>
          <w:sz w:val="20"/>
          <w:lang w:val="hr-HR"/>
        </w:rPr>
        <w:t xml:space="preserve"> Izračun </w:t>
      </w:r>
      <w:r w:rsidRPr="004259D0">
        <w:rPr>
          <w:i/>
          <w:sz w:val="20"/>
          <w:lang w:val="hr-HR"/>
        </w:rPr>
        <w:t>Ministarstv</w:t>
      </w:r>
      <w:r w:rsidR="00EA5260" w:rsidRPr="004259D0">
        <w:rPr>
          <w:i/>
          <w:sz w:val="20"/>
          <w:lang w:val="hr-HR"/>
        </w:rPr>
        <w:t>a</w:t>
      </w:r>
      <w:r w:rsidRPr="004259D0">
        <w:rPr>
          <w:i/>
          <w:sz w:val="20"/>
          <w:lang w:val="hr-HR"/>
        </w:rPr>
        <w:t xml:space="preserve"> financija</w:t>
      </w:r>
    </w:p>
    <w:p w14:paraId="40E65AC3" w14:textId="77777777" w:rsidR="00F56DFC" w:rsidRPr="004259D0" w:rsidRDefault="00F56DFC" w:rsidP="00F56DFC">
      <w:pPr>
        <w:jc w:val="both"/>
        <w:rPr>
          <w:lang w:val="hr-HR"/>
        </w:rPr>
      </w:pPr>
      <w:r w:rsidRPr="004259D0">
        <w:rPr>
          <w:lang w:val="hr-HR"/>
        </w:rPr>
        <w:t>U razdoblju između 2019. i 2022. godine se očekuje prosječan rast potencijalnog BDP-a od 2,1%. Tijekom čitavog projekcijskog razdoblja rastu potencijalnog BDP-a najviše će doprinositi faktor kapitala, uslijed daljnjeg intenziviranja investicijske aktivnosti. Njegov doprinos potencijalnom rastu u prosjeku će iznositi 1,0 postotni bod, dok će višefaktorska produktivnost ostvarivati doprinos od 0,9 postotnih bodova. Iako se očekuje da će u čitavom srednjoročnom razdoblju negativan doprinos faktoru rada dolaziti od smanjenja broja radno sposobnih stanovnika</w:t>
      </w:r>
      <w:r w:rsidRPr="004259D0">
        <w:rPr>
          <w:rStyle w:val="FootnoteReference"/>
          <w:lang w:val="hr-HR"/>
        </w:rPr>
        <w:footnoteReference w:id="15"/>
      </w:r>
      <w:r w:rsidRPr="004259D0">
        <w:rPr>
          <w:lang w:val="hr-HR"/>
        </w:rPr>
        <w:t>, on će u idućih nekoliko godina biti nadmašen pozitivnim doprinosima koji proizlaze iz smanjenja stope nezaposlenosti te povećanja stope participacije radne snage. Kao posljedica, prosječan doprinos faktora rada bit će blago pozitivan u razdoblju između 2019. i 2021. godine, da bi u 2022. postao zanemariv, prvenstveno zbog postupnog usporavanja pada stope nezaposlenosti.</w:t>
      </w:r>
    </w:p>
    <w:p w14:paraId="6BE74542" w14:textId="77777777" w:rsidR="00261D45" w:rsidRPr="004259D0" w:rsidRDefault="00261D45" w:rsidP="000C418A">
      <w:pPr>
        <w:jc w:val="both"/>
        <w:rPr>
          <w:i/>
          <w:lang w:val="hr-HR"/>
        </w:rPr>
      </w:pPr>
    </w:p>
    <w:p w14:paraId="2258E5E5" w14:textId="77777777" w:rsidR="00261D45" w:rsidRDefault="00261D45" w:rsidP="000C418A">
      <w:pPr>
        <w:jc w:val="both"/>
        <w:rPr>
          <w:i/>
          <w:lang w:val="hr-HR"/>
        </w:rPr>
      </w:pPr>
    </w:p>
    <w:p w14:paraId="2EDC8719" w14:textId="77777777" w:rsidR="00F74278" w:rsidRPr="004259D0" w:rsidRDefault="00F74278" w:rsidP="000C418A">
      <w:pPr>
        <w:jc w:val="both"/>
        <w:rPr>
          <w:i/>
          <w:lang w:val="hr-HR"/>
        </w:rPr>
      </w:pPr>
    </w:p>
    <w:p w14:paraId="477851D7" w14:textId="77777777" w:rsidR="00261D45" w:rsidRPr="004259D0" w:rsidRDefault="00261D45" w:rsidP="000C418A">
      <w:pPr>
        <w:jc w:val="both"/>
        <w:rPr>
          <w:i/>
          <w:lang w:val="hr-HR"/>
        </w:rPr>
      </w:pPr>
    </w:p>
    <w:p w14:paraId="6F2AF4BF" w14:textId="38882C7D" w:rsidR="00EA5260" w:rsidRPr="004259D0" w:rsidRDefault="00EA5260" w:rsidP="000C418A">
      <w:pPr>
        <w:jc w:val="both"/>
        <w:rPr>
          <w:i/>
          <w:lang w:val="hr-HR"/>
        </w:rPr>
      </w:pPr>
      <w:bookmarkStart w:id="13" w:name="_Toc6418644"/>
      <w:r w:rsidRPr="004259D0">
        <w:rPr>
          <w:i/>
          <w:lang w:val="hr-HR"/>
        </w:rPr>
        <w:t xml:space="preserve">Grafikon </w:t>
      </w:r>
      <w:r w:rsidRPr="004259D0">
        <w:rPr>
          <w:i/>
          <w:lang w:val="hr-HR"/>
        </w:rPr>
        <w:fldChar w:fldCharType="begin"/>
      </w:r>
      <w:r w:rsidRPr="004259D0">
        <w:rPr>
          <w:i/>
          <w:lang w:val="hr-HR"/>
        </w:rPr>
        <w:instrText xml:space="preserve"> STYLEREF 1 \s </w:instrText>
      </w:r>
      <w:r w:rsidRPr="004259D0">
        <w:rPr>
          <w:i/>
          <w:lang w:val="hr-HR"/>
        </w:rPr>
        <w:fldChar w:fldCharType="separate"/>
      </w:r>
      <w:r w:rsidR="00572AFD">
        <w:rPr>
          <w:i/>
          <w:noProof/>
          <w:lang w:val="hr-HR"/>
        </w:rPr>
        <w:t>2</w:t>
      </w:r>
      <w:r w:rsidRPr="004259D0">
        <w:rPr>
          <w:i/>
          <w:lang w:val="hr-HR"/>
        </w:rPr>
        <w:fldChar w:fldCharType="end"/>
      </w:r>
      <w:r w:rsidRPr="004259D0">
        <w:rPr>
          <w:i/>
          <w:lang w:val="hr-HR"/>
        </w:rPr>
        <w:t>.</w:t>
      </w:r>
      <w:r w:rsidRPr="004259D0">
        <w:rPr>
          <w:i/>
          <w:lang w:val="hr-HR"/>
        </w:rPr>
        <w:fldChar w:fldCharType="begin"/>
      </w:r>
      <w:r w:rsidRPr="004259D0">
        <w:rPr>
          <w:i/>
          <w:lang w:val="hr-HR"/>
        </w:rPr>
        <w:instrText xml:space="preserve"> SEQ Grafikon \* ARABIC \s 1 </w:instrText>
      </w:r>
      <w:r w:rsidRPr="004259D0">
        <w:rPr>
          <w:i/>
          <w:lang w:val="hr-HR"/>
        </w:rPr>
        <w:fldChar w:fldCharType="separate"/>
      </w:r>
      <w:r w:rsidR="00572AFD">
        <w:rPr>
          <w:i/>
          <w:noProof/>
          <w:lang w:val="hr-HR"/>
        </w:rPr>
        <w:t>2</w:t>
      </w:r>
      <w:r w:rsidRPr="004259D0">
        <w:rPr>
          <w:i/>
          <w:lang w:val="hr-HR"/>
        </w:rPr>
        <w:fldChar w:fldCharType="end"/>
      </w:r>
      <w:r w:rsidRPr="004259D0">
        <w:rPr>
          <w:i/>
          <w:lang w:val="hr-HR"/>
        </w:rPr>
        <w:t xml:space="preserve">. </w:t>
      </w:r>
      <w:r w:rsidR="00BA750A" w:rsidRPr="004259D0">
        <w:rPr>
          <w:i/>
          <w:lang w:val="hr-HR"/>
        </w:rPr>
        <w:t>Jaz bruto domaćeg proizvoda</w:t>
      </w:r>
      <w:bookmarkEnd w:id="13"/>
    </w:p>
    <w:p w14:paraId="62CE57BE" w14:textId="308BABFB" w:rsidR="001D5C91" w:rsidRPr="004259D0" w:rsidRDefault="001D5C91" w:rsidP="00715672">
      <w:pPr>
        <w:spacing w:after="0"/>
        <w:jc w:val="both"/>
        <w:rPr>
          <w:lang w:val="hr-HR"/>
        </w:rPr>
      </w:pPr>
      <w:r w:rsidRPr="004259D0">
        <w:rPr>
          <w:noProof/>
          <w:lang w:val="hr-HR" w:eastAsia="hr-HR"/>
        </w:rPr>
        <w:drawing>
          <wp:inline distT="0" distB="0" distL="0" distR="0" wp14:anchorId="7483B363" wp14:editId="1652893C">
            <wp:extent cx="5760720" cy="2329388"/>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2329388"/>
                    </a:xfrm>
                    <a:prstGeom prst="rect">
                      <a:avLst/>
                    </a:prstGeom>
                    <a:noFill/>
                    <a:ln>
                      <a:noFill/>
                    </a:ln>
                  </pic:spPr>
                </pic:pic>
              </a:graphicData>
            </a:graphic>
          </wp:inline>
        </w:drawing>
      </w:r>
    </w:p>
    <w:p w14:paraId="0B33FAB8" w14:textId="229394D5" w:rsidR="00EA5260" w:rsidRPr="004259D0" w:rsidRDefault="00EA5260" w:rsidP="00EA5260">
      <w:pPr>
        <w:jc w:val="both"/>
        <w:rPr>
          <w:i/>
          <w:sz w:val="20"/>
          <w:lang w:val="hr-HR"/>
        </w:rPr>
      </w:pPr>
      <w:r w:rsidRPr="004259D0">
        <w:rPr>
          <w:i/>
          <w:sz w:val="20"/>
          <w:lang w:val="hr-HR"/>
        </w:rPr>
        <w:t>Izvor: Izračun Ministarstva financija</w:t>
      </w:r>
    </w:p>
    <w:p w14:paraId="7E4D433A" w14:textId="7886C20C" w:rsidR="00172602" w:rsidRPr="004259D0" w:rsidRDefault="00172602" w:rsidP="000C418A">
      <w:pPr>
        <w:jc w:val="both"/>
        <w:rPr>
          <w:lang w:val="hr-HR"/>
        </w:rPr>
      </w:pPr>
      <w:r w:rsidRPr="004259D0">
        <w:rPr>
          <w:lang w:val="hr-HR"/>
        </w:rPr>
        <w:t>Budući da je i</w:t>
      </w:r>
      <w:r w:rsidR="00A74027" w:rsidRPr="004259D0">
        <w:rPr>
          <w:lang w:val="hr-HR"/>
        </w:rPr>
        <w:t>zmeđu 2015. i 2017. realni BDP</w:t>
      </w:r>
      <w:r w:rsidRPr="004259D0">
        <w:rPr>
          <w:lang w:val="hr-HR"/>
        </w:rPr>
        <w:t xml:space="preserve"> rastao po stopama znatno iznad svog potencijala, došlo je do ubrzanog zatvaranja negativnog jaza bruto domaćeg proizvoda, koji je u 2017. postao </w:t>
      </w:r>
      <w:r w:rsidR="00C41B6A" w:rsidRPr="004259D0">
        <w:rPr>
          <w:lang w:val="hr-HR"/>
        </w:rPr>
        <w:t xml:space="preserve">blago </w:t>
      </w:r>
      <w:r w:rsidRPr="004259D0">
        <w:rPr>
          <w:lang w:val="hr-HR"/>
        </w:rPr>
        <w:t>pozitivan. Obzirom da nakon 2017. dolazi do postupnog približavanja stopa rasta realnog BDP-a potencijalnom rastu, pozitivan jaz BDP-a povećavat će se znatno sporijom dinamikom te bi krajem projekcijskog razdoblja trebao dosegnuti razinu od 2,</w:t>
      </w:r>
      <w:r w:rsidR="001D5C91" w:rsidRPr="004259D0">
        <w:rPr>
          <w:lang w:val="hr-HR"/>
        </w:rPr>
        <w:t>3</w:t>
      </w:r>
      <w:r w:rsidRPr="004259D0">
        <w:rPr>
          <w:lang w:val="hr-HR"/>
        </w:rPr>
        <w:t>%.</w:t>
      </w:r>
    </w:p>
    <w:p w14:paraId="377055CA" w14:textId="77777777" w:rsidR="000865CF" w:rsidRPr="004259D0" w:rsidRDefault="000865CF" w:rsidP="00A86162">
      <w:pPr>
        <w:jc w:val="both"/>
        <w:rPr>
          <w:lang w:val="hr-HR"/>
        </w:rPr>
      </w:pPr>
    </w:p>
    <w:p w14:paraId="6B97F727" w14:textId="77777777" w:rsidR="002C7816" w:rsidRPr="004259D0" w:rsidRDefault="002C7816" w:rsidP="00A86162">
      <w:pPr>
        <w:jc w:val="both"/>
        <w:rPr>
          <w:lang w:val="hr-HR"/>
        </w:rPr>
      </w:pPr>
    </w:p>
    <w:p w14:paraId="3FF18C07" w14:textId="77777777" w:rsidR="00A86162" w:rsidRPr="004259D0" w:rsidRDefault="00A86162" w:rsidP="008160DF">
      <w:pPr>
        <w:pStyle w:val="Heading2"/>
        <w:numPr>
          <w:ilvl w:val="1"/>
          <w:numId w:val="1"/>
        </w:numPr>
        <w:rPr>
          <w:lang w:val="hr-HR"/>
        </w:rPr>
      </w:pPr>
      <w:bookmarkStart w:id="14" w:name="_Toc6418611"/>
      <w:r w:rsidRPr="004259D0">
        <w:rPr>
          <w:lang w:val="hr-HR"/>
        </w:rPr>
        <w:t>Cijene</w:t>
      </w:r>
      <w:bookmarkEnd w:id="14"/>
      <w:r w:rsidRPr="004259D0">
        <w:rPr>
          <w:lang w:val="hr-HR"/>
        </w:rPr>
        <w:t xml:space="preserve"> </w:t>
      </w:r>
    </w:p>
    <w:p w14:paraId="3095C1EF" w14:textId="77777777" w:rsidR="007F779C" w:rsidRPr="004259D0" w:rsidRDefault="007F779C" w:rsidP="00B32FF2">
      <w:pPr>
        <w:rPr>
          <w:lang w:val="hr-HR"/>
        </w:rPr>
      </w:pPr>
    </w:p>
    <w:p w14:paraId="21FCA3BA" w14:textId="5445B3D9" w:rsidR="00172602" w:rsidRPr="004259D0" w:rsidRDefault="00172602" w:rsidP="00172602">
      <w:pPr>
        <w:jc w:val="both"/>
        <w:rPr>
          <w:lang w:val="hr-HR"/>
        </w:rPr>
      </w:pPr>
      <w:r w:rsidRPr="004259D0">
        <w:rPr>
          <w:lang w:val="hr-HR"/>
        </w:rPr>
        <w:t xml:space="preserve">Inflacija, mjerena indeksom potrošačkih cijena, tijekom 2018. se kretala na relativno niskim razinama te zabilježila prosječnu </w:t>
      </w:r>
      <w:r w:rsidR="00C41B6A" w:rsidRPr="004259D0">
        <w:rPr>
          <w:lang w:val="hr-HR"/>
        </w:rPr>
        <w:t>stopu</w:t>
      </w:r>
      <w:r w:rsidRPr="004259D0">
        <w:rPr>
          <w:lang w:val="hr-HR"/>
        </w:rPr>
        <w:t xml:space="preserve"> od 1,5%, što predstavlja blago ubrzanje u odnosu </w:t>
      </w:r>
      <w:r w:rsidR="00F41FD5" w:rsidRPr="004259D0">
        <w:rPr>
          <w:lang w:val="hr-HR"/>
        </w:rPr>
        <w:t>2017. godinu</w:t>
      </w:r>
      <w:r w:rsidRPr="004259D0">
        <w:rPr>
          <w:lang w:val="hr-HR"/>
        </w:rPr>
        <w:t xml:space="preserve">. Najznačajniji čimbenik inflatornih kretanja tijekom 2018. </w:t>
      </w:r>
      <w:r w:rsidR="006F3D88" w:rsidRPr="004259D0">
        <w:rPr>
          <w:lang w:val="hr-HR"/>
        </w:rPr>
        <w:t xml:space="preserve">godine </w:t>
      </w:r>
      <w:r w:rsidRPr="004259D0">
        <w:rPr>
          <w:lang w:val="hr-HR"/>
        </w:rPr>
        <w:t>bile su cijene goriva i maziva za osobna prijevozna sredstva</w:t>
      </w:r>
      <w:r w:rsidRPr="004259D0">
        <w:rPr>
          <w:rFonts w:cs="Times New Roman"/>
          <w:vertAlign w:val="superscript"/>
          <w:lang w:val="hr-HR"/>
        </w:rPr>
        <w:footnoteReference w:id="16"/>
      </w:r>
      <w:r w:rsidRPr="004259D0">
        <w:rPr>
          <w:lang w:val="hr-HR"/>
        </w:rPr>
        <w:t>, koje su prosječno povećane za 7,1%, te cijene hrane i električne energije. Ukoliko se iz indeksa potrošačkih cijena isključe komponente energija i hrana, u 2018. godini zabilježen je blagi međugodišnji porast preostalih komponenti od 0,9%.</w:t>
      </w:r>
    </w:p>
    <w:p w14:paraId="7421E086" w14:textId="0B6DA849" w:rsidR="00172602" w:rsidRPr="004259D0" w:rsidRDefault="00172602" w:rsidP="00172602">
      <w:pPr>
        <w:spacing w:before="120" w:after="120"/>
        <w:jc w:val="both"/>
        <w:rPr>
          <w:rFonts w:ascii="Calibri" w:eastAsia="Calibri" w:hAnsi="Calibri" w:cs="Times New Roman"/>
          <w:lang w:val="hr-HR"/>
        </w:rPr>
      </w:pPr>
      <w:r w:rsidRPr="004259D0">
        <w:rPr>
          <w:rFonts w:ascii="Calibri" w:eastAsia="Calibri" w:hAnsi="Calibri" w:cs="Times New Roman"/>
          <w:lang w:val="hr-HR"/>
        </w:rPr>
        <w:t>Predviđa se da će rast potrošačkih cijena u 2019. godini usporiti na 0,8%, kao posljedica očekivanog usporavanja potrošačkih cijena u eurozoni te primjene snižene stope PDV-a na određene prehrambene proizvode, dječje pelene i lijekove, čiji se utjecaj na inflaciju procjenjuje na -0,</w:t>
      </w:r>
      <w:r w:rsidR="00C41B6A" w:rsidRPr="004259D0">
        <w:rPr>
          <w:rFonts w:ascii="Calibri" w:eastAsia="Calibri" w:hAnsi="Calibri" w:cs="Times New Roman"/>
          <w:lang w:val="hr-HR"/>
        </w:rPr>
        <w:t>6</w:t>
      </w:r>
      <w:r w:rsidRPr="004259D0">
        <w:rPr>
          <w:rFonts w:ascii="Calibri" w:eastAsia="Calibri" w:hAnsi="Calibri" w:cs="Times New Roman"/>
          <w:lang w:val="hr-HR"/>
        </w:rPr>
        <w:t xml:space="preserve"> postotnih bodova. </w:t>
      </w:r>
      <w:r w:rsidR="00261D45" w:rsidRPr="004259D0">
        <w:rPr>
          <w:rFonts w:ascii="Calibri" w:eastAsia="Calibri" w:hAnsi="Calibri" w:cs="Times New Roman"/>
          <w:lang w:val="hr-HR"/>
        </w:rPr>
        <w:t xml:space="preserve">Očekuje se da će učinak pada cijena nafte na svjetskom tržištu na domaći indeks potrošačkih cijena biti ublažen deprecijacijom tečaja kune prema američkom dolaru.  </w:t>
      </w:r>
      <w:r w:rsidRPr="004259D0">
        <w:rPr>
          <w:rFonts w:ascii="Calibri" w:eastAsia="Calibri" w:hAnsi="Calibri" w:cs="Times New Roman"/>
          <w:lang w:val="hr-HR"/>
        </w:rPr>
        <w:t>Pozitivan doprinos inflaciji u 2019. doći će od učinka prijenosa povećanja trošarina na duhan i duhanske proizvode iz prosinca 2018. u iznosu od 0,2 postotna boda, kao i rasta cijena plina početkom travnja 2019., u iznosu od 0,1 postotnog boda</w:t>
      </w:r>
      <w:r w:rsidR="005974EA" w:rsidRPr="004259D0">
        <w:rPr>
          <w:rStyle w:val="FootnoteReference"/>
          <w:rFonts w:ascii="Calibri" w:eastAsia="Calibri" w:hAnsi="Calibri"/>
          <w:lang w:val="hr-HR"/>
        </w:rPr>
        <w:footnoteReference w:id="17"/>
      </w:r>
      <w:r w:rsidRPr="004259D0">
        <w:rPr>
          <w:rFonts w:ascii="Calibri" w:eastAsia="Calibri" w:hAnsi="Calibri" w:cs="Times New Roman"/>
          <w:lang w:val="hr-HR"/>
        </w:rPr>
        <w:t>. Slijedom navedenog, u 2019. godini očekuje se pad cijena hrane i usporavanje rasta cijena energije u odnosu na 2018., dok će</w:t>
      </w:r>
      <w:r w:rsidR="00261D45" w:rsidRPr="004259D0">
        <w:rPr>
          <w:rFonts w:ascii="Calibri" w:eastAsia="Calibri" w:hAnsi="Calibri" w:cs="Times New Roman"/>
          <w:lang w:val="hr-HR"/>
        </w:rPr>
        <w:t xml:space="preserve"> se</w:t>
      </w:r>
      <w:r w:rsidRPr="004259D0">
        <w:rPr>
          <w:rFonts w:ascii="Calibri" w:eastAsia="Calibri" w:hAnsi="Calibri" w:cs="Times New Roman"/>
          <w:lang w:val="hr-HR"/>
        </w:rPr>
        <w:t xml:space="preserve"> rast potrošačkih cijena bez hrane i energije </w:t>
      </w:r>
      <w:r w:rsidR="00261D45" w:rsidRPr="004259D0">
        <w:rPr>
          <w:rFonts w:ascii="Calibri" w:eastAsia="Calibri" w:hAnsi="Calibri" w:cs="Times New Roman"/>
          <w:lang w:val="hr-HR"/>
        </w:rPr>
        <w:t>zadržati približno na razini iz prethodne godine</w:t>
      </w:r>
      <w:r w:rsidRPr="004259D0">
        <w:rPr>
          <w:rFonts w:ascii="Calibri" w:eastAsia="Calibri" w:hAnsi="Calibri" w:cs="Times New Roman"/>
          <w:lang w:val="hr-HR"/>
        </w:rPr>
        <w:t>.</w:t>
      </w:r>
    </w:p>
    <w:p w14:paraId="21504DD8" w14:textId="5D379383" w:rsidR="007325BF" w:rsidRPr="00F74278" w:rsidRDefault="00172602" w:rsidP="00172602">
      <w:pPr>
        <w:spacing w:before="120" w:after="120"/>
        <w:jc w:val="both"/>
        <w:rPr>
          <w:rFonts w:eastAsia="Times New Roman" w:cs="Times New Roman"/>
          <w:color w:val="000000"/>
          <w:shd w:val="clear" w:color="auto" w:fill="FFFFFF"/>
          <w:lang w:val="hr-HR" w:eastAsia="hr-HR"/>
        </w:rPr>
      </w:pPr>
      <w:r w:rsidRPr="004259D0">
        <w:rPr>
          <w:rFonts w:eastAsia="Times New Roman" w:cs="Times New Roman"/>
          <w:color w:val="000000"/>
          <w:lang w:val="hr-HR" w:eastAsia="hr-HR"/>
        </w:rPr>
        <w:t>U</w:t>
      </w:r>
      <w:r w:rsidRPr="004259D0">
        <w:rPr>
          <w:lang w:val="hr-HR"/>
        </w:rPr>
        <w:t>slijed</w:t>
      </w:r>
      <w:r w:rsidRPr="004259D0">
        <w:rPr>
          <w:rFonts w:eastAsia="Times New Roman" w:cs="Times New Roman"/>
          <w:color w:val="000000"/>
          <w:shd w:val="clear" w:color="auto" w:fill="FFFFFF"/>
          <w:lang w:val="hr-HR" w:eastAsia="hr-HR"/>
        </w:rPr>
        <w:t xml:space="preserve"> </w:t>
      </w:r>
      <w:r w:rsidRPr="004259D0">
        <w:rPr>
          <w:rFonts w:eastAsia="Times New Roman" w:cs="Times New Roman"/>
          <w:shd w:val="clear" w:color="auto" w:fill="FFFFFF"/>
          <w:lang w:val="hr-HR" w:eastAsia="hr-HR"/>
        </w:rPr>
        <w:t xml:space="preserve">ubrzanja </w:t>
      </w:r>
      <w:r w:rsidRPr="004259D0">
        <w:rPr>
          <w:rFonts w:eastAsia="Times New Roman" w:cs="Times New Roman"/>
          <w:color w:val="000000"/>
          <w:shd w:val="clear" w:color="auto" w:fill="FFFFFF"/>
          <w:lang w:val="hr-HR" w:eastAsia="hr-HR"/>
        </w:rPr>
        <w:t xml:space="preserve">inflacije u eurozoni te iščezavanja negativnog učinka smanjenja stope PDV-a iz 2019., u 2020. godini se očekuje ubrzanje stope inflacije na razinu od 1,4%. </w:t>
      </w:r>
      <w:r w:rsidR="001C2DA4" w:rsidRPr="004259D0">
        <w:rPr>
          <w:rFonts w:ascii="Calibri" w:eastAsia="Calibri" w:hAnsi="Calibri" w:cs="Times New Roman"/>
          <w:lang w:val="hr-HR"/>
        </w:rPr>
        <w:t>N</w:t>
      </w:r>
      <w:r w:rsidRPr="004259D0">
        <w:rPr>
          <w:rFonts w:ascii="Calibri" w:eastAsia="Calibri" w:hAnsi="Calibri" w:cs="Times New Roman"/>
          <w:lang w:val="hr-HR"/>
        </w:rPr>
        <w:t xml:space="preserve">egativan doprinos kretanju inflacije u 2020. od </w:t>
      </w:r>
      <w:r w:rsidR="00C41B6A" w:rsidRPr="004259D0">
        <w:rPr>
          <w:rFonts w:ascii="Calibri" w:eastAsia="Calibri" w:hAnsi="Calibri" w:cs="Times New Roman"/>
          <w:lang w:val="hr-HR"/>
        </w:rPr>
        <w:t>-0,2</w:t>
      </w:r>
      <w:r w:rsidRPr="004259D0">
        <w:rPr>
          <w:rFonts w:ascii="Calibri" w:eastAsia="Calibri" w:hAnsi="Calibri" w:cs="Times New Roman"/>
          <w:lang w:val="hr-HR"/>
        </w:rPr>
        <w:t xml:space="preserve"> postotna boda doći će od smanjenja opće stope PDV-a sa 25% na 24%. </w:t>
      </w:r>
      <w:r w:rsidRPr="004259D0">
        <w:rPr>
          <w:rFonts w:eastAsia="Times New Roman" w:cs="Times New Roman"/>
          <w:color w:val="000000"/>
          <w:shd w:val="clear" w:color="auto" w:fill="FFFFFF"/>
          <w:lang w:val="hr-HR" w:eastAsia="hr-HR"/>
        </w:rPr>
        <w:t>U ostatku projekcijskog razdoblja se očekuje tek neznatno ubrzanje inflacije na razine od 1,5% u 2021. i 1,6% u 2022. godini, u</w:t>
      </w:r>
      <w:r w:rsidRPr="004259D0">
        <w:rPr>
          <w:lang w:val="hr-HR"/>
        </w:rPr>
        <w:t>slijed</w:t>
      </w:r>
      <w:r w:rsidRPr="004259D0">
        <w:rPr>
          <w:rFonts w:eastAsia="Times New Roman" w:cs="Times New Roman"/>
          <w:color w:val="000000"/>
          <w:shd w:val="clear" w:color="auto" w:fill="FFFFFF"/>
          <w:lang w:val="hr-HR" w:eastAsia="hr-HR"/>
        </w:rPr>
        <w:t xml:space="preserve"> blagog</w:t>
      </w:r>
      <w:r w:rsidR="007E5BFC" w:rsidRPr="004259D0">
        <w:rPr>
          <w:rFonts w:eastAsia="Times New Roman" w:cs="Times New Roman"/>
          <w:color w:val="000000"/>
          <w:shd w:val="clear" w:color="auto" w:fill="FFFFFF"/>
          <w:lang w:val="hr-HR" w:eastAsia="hr-HR"/>
        </w:rPr>
        <w:t xml:space="preserve"> povećanja inflacije u eurozoni,</w:t>
      </w:r>
      <w:r w:rsidRPr="004259D0">
        <w:rPr>
          <w:rFonts w:eastAsia="Times New Roman" w:cs="Times New Roman"/>
          <w:color w:val="000000"/>
          <w:shd w:val="clear" w:color="auto" w:fill="FFFFFF"/>
          <w:lang w:val="hr-HR" w:eastAsia="hr-HR"/>
        </w:rPr>
        <w:t xml:space="preserve"> nastavka</w:t>
      </w:r>
      <w:r w:rsidRPr="004259D0">
        <w:rPr>
          <w:lang w:val="hr-HR"/>
        </w:rPr>
        <w:t xml:space="preserve"> </w:t>
      </w:r>
      <w:r w:rsidR="007E5BFC" w:rsidRPr="004259D0">
        <w:rPr>
          <w:rFonts w:eastAsia="Times New Roman" w:cs="Times New Roman"/>
          <w:color w:val="000000"/>
          <w:shd w:val="clear" w:color="auto" w:fill="FFFFFF"/>
          <w:lang w:val="hr-HR" w:eastAsia="hr-HR"/>
        </w:rPr>
        <w:t>rasta</w:t>
      </w:r>
      <w:r w:rsidRPr="004259D0">
        <w:rPr>
          <w:rFonts w:eastAsia="Times New Roman" w:cs="Times New Roman"/>
          <w:color w:val="000000"/>
          <w:shd w:val="clear" w:color="auto" w:fill="FFFFFF"/>
          <w:lang w:val="hr-HR" w:eastAsia="hr-HR"/>
        </w:rPr>
        <w:t xml:space="preserve"> potrošnje kućanstava</w:t>
      </w:r>
      <w:r w:rsidR="007E5BFC" w:rsidRPr="004259D0">
        <w:rPr>
          <w:rFonts w:eastAsia="Times New Roman" w:cs="Times New Roman"/>
          <w:color w:val="000000"/>
          <w:shd w:val="clear" w:color="auto" w:fill="FFFFFF"/>
          <w:lang w:val="hr-HR" w:eastAsia="hr-HR"/>
        </w:rPr>
        <w:t xml:space="preserve">, iako usporavajućom dinamikom, te </w:t>
      </w:r>
      <w:r w:rsidR="005D2F82" w:rsidRPr="004259D0">
        <w:rPr>
          <w:rFonts w:eastAsia="Times New Roman" w:cs="Times New Roman"/>
          <w:color w:val="000000"/>
          <w:shd w:val="clear" w:color="auto" w:fill="FFFFFF"/>
          <w:lang w:val="hr-HR" w:eastAsia="hr-HR"/>
        </w:rPr>
        <w:t xml:space="preserve">kontinuiranog </w:t>
      </w:r>
      <w:r w:rsidR="007E5BFC" w:rsidRPr="004259D0">
        <w:rPr>
          <w:rFonts w:eastAsia="Times New Roman" w:cs="Times New Roman"/>
          <w:color w:val="000000"/>
          <w:shd w:val="clear" w:color="auto" w:fill="FFFFFF"/>
          <w:lang w:val="hr-HR" w:eastAsia="hr-HR"/>
        </w:rPr>
        <w:t>rasta</w:t>
      </w:r>
      <w:r w:rsidRPr="004259D0">
        <w:rPr>
          <w:rFonts w:eastAsia="Times New Roman" w:cs="Times New Roman"/>
          <w:color w:val="000000"/>
          <w:shd w:val="clear" w:color="auto" w:fill="FFFFFF"/>
          <w:lang w:val="hr-HR" w:eastAsia="hr-HR"/>
        </w:rPr>
        <w:t xml:space="preserve"> jediničnog troška rada, u uvjetima </w:t>
      </w:r>
      <w:r w:rsidRPr="004259D0">
        <w:rPr>
          <w:rFonts w:eastAsia="Times New Roman" w:cs="Times New Roman"/>
          <w:shd w:val="clear" w:color="auto" w:fill="FFFFFF"/>
          <w:lang w:val="hr-HR" w:eastAsia="hr-HR"/>
        </w:rPr>
        <w:t>stagnacije cijena sirovina na svjetskom tržištu</w:t>
      </w:r>
      <w:r w:rsidRPr="004259D0">
        <w:rPr>
          <w:rFonts w:cs="Times New Roman"/>
          <w:vertAlign w:val="superscript"/>
          <w:lang w:val="hr-HR"/>
        </w:rPr>
        <w:footnoteReference w:id="18"/>
      </w:r>
      <w:r w:rsidRPr="004259D0">
        <w:rPr>
          <w:rFonts w:eastAsia="Times New Roman" w:cs="Times New Roman"/>
          <w:color w:val="000000"/>
          <w:shd w:val="clear" w:color="auto" w:fill="FFFFFF"/>
          <w:lang w:val="hr-HR" w:eastAsia="hr-HR"/>
        </w:rPr>
        <w:t>.</w:t>
      </w:r>
    </w:p>
    <w:p w14:paraId="114B425E" w14:textId="77777777" w:rsidR="000E522A" w:rsidRPr="004259D0" w:rsidRDefault="000865CF" w:rsidP="00D12C95">
      <w:pPr>
        <w:spacing w:after="0" w:line="240" w:lineRule="auto"/>
        <w:rPr>
          <w:i/>
          <w:lang w:val="hr-HR"/>
        </w:rPr>
      </w:pPr>
      <w:bookmarkStart w:id="15" w:name="_Toc6418635"/>
      <w:r w:rsidRPr="004259D0">
        <w:rPr>
          <w:i/>
          <w:lang w:val="hr-HR"/>
        </w:rPr>
        <w:t xml:space="preserve">Tablica </w:t>
      </w:r>
      <w:r w:rsidR="00821428" w:rsidRPr="004259D0">
        <w:rPr>
          <w:i/>
          <w:lang w:val="hr-HR"/>
        </w:rPr>
        <w:fldChar w:fldCharType="begin"/>
      </w:r>
      <w:r w:rsidR="00821428" w:rsidRPr="004259D0">
        <w:rPr>
          <w:i/>
          <w:lang w:val="hr-HR"/>
        </w:rPr>
        <w:instrText xml:space="preserve"> STYLEREF 1 \s </w:instrText>
      </w:r>
      <w:r w:rsidR="00821428" w:rsidRPr="004259D0">
        <w:rPr>
          <w:i/>
          <w:lang w:val="hr-HR"/>
        </w:rPr>
        <w:fldChar w:fldCharType="separate"/>
      </w:r>
      <w:r w:rsidR="00572AFD">
        <w:rPr>
          <w:i/>
          <w:noProof/>
          <w:lang w:val="hr-HR"/>
        </w:rPr>
        <w:t>2</w:t>
      </w:r>
      <w:r w:rsidR="00821428" w:rsidRPr="004259D0">
        <w:rPr>
          <w:i/>
          <w:lang w:val="hr-HR"/>
        </w:rPr>
        <w:fldChar w:fldCharType="end"/>
      </w:r>
      <w:r w:rsidR="00821428" w:rsidRPr="004259D0">
        <w:rPr>
          <w:i/>
          <w:lang w:val="hr-HR"/>
        </w:rPr>
        <w:t>.</w:t>
      </w:r>
      <w:r w:rsidR="00821428" w:rsidRPr="004259D0">
        <w:rPr>
          <w:i/>
          <w:lang w:val="hr-HR"/>
        </w:rPr>
        <w:fldChar w:fldCharType="begin"/>
      </w:r>
      <w:r w:rsidR="00821428" w:rsidRPr="004259D0">
        <w:rPr>
          <w:i/>
          <w:lang w:val="hr-HR"/>
        </w:rPr>
        <w:instrText xml:space="preserve"> SEQ Tablica \* ARABIC \s 1 </w:instrText>
      </w:r>
      <w:r w:rsidR="00821428" w:rsidRPr="004259D0">
        <w:rPr>
          <w:i/>
          <w:lang w:val="hr-HR"/>
        </w:rPr>
        <w:fldChar w:fldCharType="separate"/>
      </w:r>
      <w:r w:rsidR="00572AFD">
        <w:rPr>
          <w:i/>
          <w:noProof/>
          <w:lang w:val="hr-HR"/>
        </w:rPr>
        <w:t>3</w:t>
      </w:r>
      <w:r w:rsidR="00821428" w:rsidRPr="004259D0">
        <w:rPr>
          <w:i/>
          <w:lang w:val="hr-HR"/>
        </w:rPr>
        <w:fldChar w:fldCharType="end"/>
      </w:r>
      <w:r w:rsidRPr="004259D0">
        <w:rPr>
          <w:i/>
          <w:lang w:val="hr-HR"/>
        </w:rPr>
        <w:t>.</w:t>
      </w:r>
      <w:r w:rsidR="00A86162" w:rsidRPr="004259D0">
        <w:rPr>
          <w:i/>
          <w:lang w:val="hr-HR"/>
        </w:rPr>
        <w:t xml:space="preserve"> Kretanje cijena</w:t>
      </w:r>
      <w:bookmarkEnd w:id="15"/>
    </w:p>
    <w:p w14:paraId="35810907" w14:textId="54C7E659" w:rsidR="00172602" w:rsidRPr="004259D0" w:rsidRDefault="00036748" w:rsidP="00172602">
      <w:pPr>
        <w:spacing w:after="0"/>
        <w:jc w:val="both"/>
        <w:rPr>
          <w:i/>
          <w:sz w:val="20"/>
          <w:lang w:val="hr-HR"/>
        </w:rPr>
      </w:pPr>
      <w:r w:rsidRPr="004259D0">
        <w:rPr>
          <w:noProof/>
          <w:lang w:val="hr-HR" w:eastAsia="hr-HR"/>
        </w:rPr>
        <w:drawing>
          <wp:inline distT="0" distB="0" distL="0" distR="0" wp14:anchorId="0B3BBC37" wp14:editId="3FFF0593">
            <wp:extent cx="5760720" cy="2071518"/>
            <wp:effectExtent l="0" t="0" r="0" b="5080"/>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071518"/>
                    </a:xfrm>
                    <a:prstGeom prst="rect">
                      <a:avLst/>
                    </a:prstGeom>
                    <a:noFill/>
                    <a:ln>
                      <a:noFill/>
                    </a:ln>
                  </pic:spPr>
                </pic:pic>
              </a:graphicData>
            </a:graphic>
          </wp:inline>
        </w:drawing>
      </w:r>
    </w:p>
    <w:p w14:paraId="3585BBC2" w14:textId="50CA3E77" w:rsidR="00036748" w:rsidRPr="004259D0" w:rsidRDefault="00036748" w:rsidP="00036748">
      <w:pPr>
        <w:spacing w:after="0"/>
        <w:jc w:val="both"/>
        <w:rPr>
          <w:i/>
          <w:sz w:val="20"/>
          <w:lang w:val="hr-HR"/>
        </w:rPr>
      </w:pPr>
      <w:r w:rsidRPr="004259D0">
        <w:rPr>
          <w:i/>
          <w:sz w:val="20"/>
          <w:lang w:val="hr-HR"/>
        </w:rPr>
        <w:t>Napomena: Podaci za 2018. su preliminarni.</w:t>
      </w:r>
    </w:p>
    <w:p w14:paraId="0F3DBA30" w14:textId="77777777" w:rsidR="00A86162" w:rsidRPr="004259D0" w:rsidRDefault="00A86162" w:rsidP="00A86162">
      <w:pPr>
        <w:jc w:val="both"/>
        <w:rPr>
          <w:i/>
          <w:sz w:val="20"/>
          <w:lang w:val="hr-HR"/>
        </w:rPr>
      </w:pPr>
      <w:r w:rsidRPr="004259D0">
        <w:rPr>
          <w:i/>
          <w:sz w:val="20"/>
          <w:lang w:val="hr-HR"/>
        </w:rPr>
        <w:t>Izvor: Državni zavod za statistiku, Ministarstvo financija</w:t>
      </w:r>
    </w:p>
    <w:p w14:paraId="34782747" w14:textId="20B35647" w:rsidR="00036748" w:rsidRPr="004259D0" w:rsidRDefault="00172602" w:rsidP="00211811">
      <w:pPr>
        <w:jc w:val="both"/>
        <w:rPr>
          <w:rFonts w:eastAsia="Times New Roman" w:cs="Times New Roman"/>
          <w:lang w:val="hr-HR" w:eastAsia="hr-HR"/>
        </w:rPr>
      </w:pPr>
      <w:r w:rsidRPr="004259D0">
        <w:rPr>
          <w:lang w:val="hr-HR"/>
        </w:rPr>
        <w:t xml:space="preserve">Nakon što je u 2018. godini deflator BDP-a povećan za 1,7%, </w:t>
      </w:r>
      <w:r w:rsidRPr="004259D0">
        <w:rPr>
          <w:rFonts w:eastAsia="Times New Roman" w:cs="Times New Roman"/>
          <w:shd w:val="clear" w:color="auto" w:fill="FFFFFF"/>
          <w:lang w:val="hr-HR" w:eastAsia="hr-HR"/>
        </w:rPr>
        <w:t xml:space="preserve">očekuje se da će </w:t>
      </w:r>
      <w:r w:rsidRPr="004259D0">
        <w:rPr>
          <w:lang w:val="hr-HR"/>
        </w:rPr>
        <w:t>u</w:t>
      </w:r>
      <w:r w:rsidRPr="004259D0">
        <w:rPr>
          <w:rFonts w:eastAsia="Times New Roman" w:cs="Times New Roman"/>
          <w:shd w:val="clear" w:color="auto" w:fill="FFFFFF"/>
          <w:lang w:val="hr-HR" w:eastAsia="hr-HR"/>
        </w:rPr>
        <w:t xml:space="preserve"> 2019. njegov rast usporiti na razinu od 1,4%, ponajviše kao posljedica sporije dinamike rasta d</w:t>
      </w:r>
      <w:r w:rsidRPr="004259D0">
        <w:rPr>
          <w:rFonts w:eastAsia="Times New Roman" w:cs="Times New Roman"/>
          <w:lang w:val="hr-HR" w:eastAsia="hr-HR"/>
        </w:rPr>
        <w:t xml:space="preserve">eflatora potrošnje kućanstava koji će usporiti sukladno kretanju potrošačkih cijena. </w:t>
      </w:r>
      <w:r w:rsidR="001C7757" w:rsidRPr="004259D0">
        <w:rPr>
          <w:rFonts w:ascii="Calibri" w:eastAsia="Times New Roman" w:hAnsi="Calibri" w:cs="Times New Roman"/>
          <w:lang w:val="hr-HR" w:eastAsia="hr-HR"/>
        </w:rPr>
        <w:t xml:space="preserve">S druge strane, kod deflatora investicija se u 2019. očekuje ubrzanje, prvenstveno pod utjecajem rasta troškova u građevinskom sektoru i rasta cijena nekretnina, dok kod kapitalnih dobara kretanje indeksa proizvođačkih cijena i nadalje ukazuje na prigušenu dinamiku. </w:t>
      </w:r>
      <w:r w:rsidR="001C7757" w:rsidRPr="004259D0">
        <w:rPr>
          <w:rFonts w:eastAsia="Times New Roman" w:cs="Times New Roman"/>
          <w:lang w:val="hr-HR" w:eastAsia="hr-HR"/>
        </w:rPr>
        <w:t>Također se predviđa nastavak snažnog rasta deflatora državne potrošnje, pod utjecajem povećanja osnovice za plaće zaposlenika u državnim i javnim službama</w:t>
      </w:r>
      <w:r w:rsidRPr="004259D0">
        <w:rPr>
          <w:rFonts w:eastAsia="Times New Roman" w:cs="Times New Roman"/>
          <w:lang w:val="hr-HR" w:eastAsia="hr-HR"/>
        </w:rPr>
        <w:t xml:space="preserve">. Usporavanje rasta deflatora uvoza roba i usluga </w:t>
      </w:r>
      <w:r w:rsidR="001C7757" w:rsidRPr="004259D0">
        <w:rPr>
          <w:rFonts w:eastAsia="Times New Roman" w:cs="Times New Roman"/>
          <w:lang w:val="hr-HR" w:eastAsia="hr-HR"/>
        </w:rPr>
        <w:t xml:space="preserve">tijekom 2019. godine </w:t>
      </w:r>
      <w:r w:rsidRPr="004259D0">
        <w:rPr>
          <w:rFonts w:eastAsia="Times New Roman" w:cs="Times New Roman"/>
          <w:lang w:val="hr-HR" w:eastAsia="hr-HR"/>
        </w:rPr>
        <w:t>odražavat će smanjenje cijena sirovina na svjetskim tržištima te nešto sporiji rast cijena u eurozoni</w:t>
      </w:r>
      <w:r w:rsidRPr="004259D0">
        <w:rPr>
          <w:rFonts w:eastAsia="Times New Roman" w:cs="Times New Roman"/>
          <w:shd w:val="clear" w:color="auto" w:fill="FFFFFF"/>
          <w:lang w:val="hr-HR" w:eastAsia="hr-HR"/>
        </w:rPr>
        <w:t xml:space="preserve">. </w:t>
      </w:r>
      <w:r w:rsidR="001C7757" w:rsidRPr="004259D0">
        <w:rPr>
          <w:rFonts w:eastAsia="Times New Roman" w:cs="Times New Roman"/>
          <w:shd w:val="clear" w:color="auto" w:fill="FFFFFF"/>
          <w:lang w:val="hr-HR" w:eastAsia="hr-HR"/>
        </w:rPr>
        <w:t xml:space="preserve">Usporavanje rasta deflatora izvoza roba i usluga posljedica </w:t>
      </w:r>
      <w:r w:rsidR="00023736" w:rsidRPr="004259D0">
        <w:rPr>
          <w:rFonts w:eastAsia="Times New Roman" w:cs="Times New Roman"/>
          <w:shd w:val="clear" w:color="auto" w:fill="FFFFFF"/>
          <w:lang w:val="hr-HR" w:eastAsia="hr-HR"/>
        </w:rPr>
        <w:t>je niže stope</w:t>
      </w:r>
      <w:r w:rsidR="001C7757" w:rsidRPr="004259D0">
        <w:rPr>
          <w:rFonts w:eastAsia="Times New Roman" w:cs="Times New Roman"/>
          <w:shd w:val="clear" w:color="auto" w:fill="FFFFFF"/>
          <w:lang w:val="hr-HR" w:eastAsia="hr-HR"/>
        </w:rPr>
        <w:t xml:space="preserve"> rasta deflatora izvoza usluga, </w:t>
      </w:r>
      <w:r w:rsidR="009352DF" w:rsidRPr="004259D0">
        <w:rPr>
          <w:rFonts w:eastAsia="Times New Roman" w:cs="Times New Roman"/>
          <w:shd w:val="clear" w:color="auto" w:fill="FFFFFF"/>
          <w:lang w:val="hr-HR" w:eastAsia="hr-HR"/>
        </w:rPr>
        <w:t xml:space="preserve">pod pretpostavkom </w:t>
      </w:r>
      <w:r w:rsidR="001C7757" w:rsidRPr="004259D0">
        <w:rPr>
          <w:rFonts w:eastAsia="Times New Roman" w:cs="Times New Roman"/>
          <w:shd w:val="clear" w:color="auto" w:fill="FFFFFF"/>
          <w:lang w:val="hr-HR" w:eastAsia="hr-HR"/>
        </w:rPr>
        <w:t>očuvanja cjenovne konk</w:t>
      </w:r>
      <w:r w:rsidR="00023736" w:rsidRPr="004259D0">
        <w:rPr>
          <w:rFonts w:eastAsia="Times New Roman" w:cs="Times New Roman"/>
          <w:shd w:val="clear" w:color="auto" w:fill="FFFFFF"/>
          <w:lang w:val="hr-HR" w:eastAsia="hr-HR"/>
        </w:rPr>
        <w:t xml:space="preserve">urentnosti </w:t>
      </w:r>
      <w:r w:rsidR="009352DF" w:rsidRPr="004259D0">
        <w:rPr>
          <w:rFonts w:eastAsia="Times New Roman" w:cs="Times New Roman"/>
          <w:shd w:val="clear" w:color="auto" w:fill="FFFFFF"/>
          <w:lang w:val="hr-HR" w:eastAsia="hr-HR"/>
        </w:rPr>
        <w:t xml:space="preserve">u uvjetima slabljenja </w:t>
      </w:r>
      <w:r w:rsidR="00023736" w:rsidRPr="004259D0">
        <w:rPr>
          <w:rFonts w:eastAsia="Times New Roman" w:cs="Times New Roman"/>
          <w:shd w:val="clear" w:color="auto" w:fill="FFFFFF"/>
          <w:lang w:val="hr-HR" w:eastAsia="hr-HR"/>
        </w:rPr>
        <w:t>turističk</w:t>
      </w:r>
      <w:r w:rsidR="009352DF" w:rsidRPr="004259D0">
        <w:rPr>
          <w:rFonts w:eastAsia="Times New Roman" w:cs="Times New Roman"/>
          <w:shd w:val="clear" w:color="auto" w:fill="FFFFFF"/>
          <w:lang w:val="hr-HR" w:eastAsia="hr-HR"/>
        </w:rPr>
        <w:t>e</w:t>
      </w:r>
      <w:r w:rsidR="00023736" w:rsidRPr="004259D0">
        <w:rPr>
          <w:rFonts w:eastAsia="Times New Roman" w:cs="Times New Roman"/>
          <w:shd w:val="clear" w:color="auto" w:fill="FFFFFF"/>
          <w:lang w:val="hr-HR" w:eastAsia="hr-HR"/>
        </w:rPr>
        <w:t xml:space="preserve"> potražnj</w:t>
      </w:r>
      <w:r w:rsidR="009352DF" w:rsidRPr="004259D0">
        <w:rPr>
          <w:rFonts w:eastAsia="Times New Roman" w:cs="Times New Roman"/>
          <w:shd w:val="clear" w:color="auto" w:fill="FFFFFF"/>
          <w:lang w:val="hr-HR" w:eastAsia="hr-HR"/>
        </w:rPr>
        <w:t>e</w:t>
      </w:r>
      <w:r w:rsidR="001C7757" w:rsidRPr="004259D0">
        <w:rPr>
          <w:rFonts w:eastAsia="Times New Roman" w:cs="Times New Roman"/>
          <w:shd w:val="clear" w:color="auto" w:fill="FFFFFF"/>
          <w:lang w:val="hr-HR" w:eastAsia="hr-HR"/>
        </w:rPr>
        <w:t xml:space="preserve">. </w:t>
      </w:r>
      <w:r w:rsidR="001C7757" w:rsidRPr="004259D0">
        <w:rPr>
          <w:rFonts w:eastAsia="Times New Roman" w:cs="Times New Roman"/>
          <w:lang w:val="hr-HR" w:eastAsia="hr-HR"/>
        </w:rPr>
        <w:t xml:space="preserve">Unatoč </w:t>
      </w:r>
      <w:r w:rsidR="00023736" w:rsidRPr="004259D0">
        <w:rPr>
          <w:rFonts w:eastAsia="Times New Roman" w:cs="Times New Roman"/>
          <w:lang w:val="hr-HR" w:eastAsia="hr-HR"/>
        </w:rPr>
        <w:t>nastavku unutarnjih troškovnih pritis</w:t>
      </w:r>
      <w:r w:rsidR="001C7757" w:rsidRPr="004259D0">
        <w:rPr>
          <w:rFonts w:eastAsia="Times New Roman" w:cs="Times New Roman"/>
          <w:lang w:val="hr-HR" w:eastAsia="hr-HR"/>
        </w:rPr>
        <w:t>a</w:t>
      </w:r>
      <w:r w:rsidR="00023736" w:rsidRPr="004259D0">
        <w:rPr>
          <w:rFonts w:eastAsia="Times New Roman" w:cs="Times New Roman"/>
          <w:lang w:val="hr-HR" w:eastAsia="hr-HR"/>
        </w:rPr>
        <w:t>ka</w:t>
      </w:r>
      <w:r w:rsidR="001C7757" w:rsidRPr="004259D0">
        <w:rPr>
          <w:rFonts w:eastAsia="Times New Roman" w:cs="Times New Roman"/>
          <w:lang w:val="hr-HR" w:eastAsia="hr-HR"/>
        </w:rPr>
        <w:t xml:space="preserve">, kod deflatora izvoza roba se u 2019. i nadalje </w:t>
      </w:r>
      <w:r w:rsidR="00023736" w:rsidRPr="004259D0">
        <w:rPr>
          <w:rFonts w:eastAsia="Times New Roman" w:cs="Times New Roman"/>
          <w:lang w:val="hr-HR" w:eastAsia="hr-HR"/>
        </w:rPr>
        <w:t xml:space="preserve">ne </w:t>
      </w:r>
      <w:r w:rsidR="001C7757" w:rsidRPr="004259D0">
        <w:rPr>
          <w:rFonts w:eastAsia="Times New Roman" w:cs="Times New Roman"/>
          <w:lang w:val="hr-HR" w:eastAsia="hr-HR"/>
        </w:rPr>
        <w:t xml:space="preserve">očekuje </w:t>
      </w:r>
      <w:r w:rsidR="00023736" w:rsidRPr="004259D0">
        <w:rPr>
          <w:rFonts w:eastAsia="Times New Roman" w:cs="Times New Roman"/>
          <w:lang w:val="hr-HR" w:eastAsia="hr-HR"/>
        </w:rPr>
        <w:t>znatnije ubrzanje rasta.</w:t>
      </w:r>
      <w:r w:rsidR="001C7757" w:rsidRPr="004259D0">
        <w:rPr>
          <w:rFonts w:eastAsia="Times New Roman" w:cs="Times New Roman"/>
          <w:lang w:val="hr-HR" w:eastAsia="hr-HR"/>
        </w:rPr>
        <w:t xml:space="preserve"> </w:t>
      </w:r>
      <w:r w:rsidR="001C7757" w:rsidRPr="004259D0">
        <w:rPr>
          <w:rFonts w:eastAsia="Times New Roman" w:cs="Times New Roman"/>
          <w:shd w:val="clear" w:color="auto" w:fill="FFFFFF"/>
          <w:lang w:val="hr-HR" w:eastAsia="hr-HR"/>
        </w:rPr>
        <w:t>U iduće tri godine deflator BDP-a će postupno ubrzavati prema razini od 1,9% u 2022.</w:t>
      </w:r>
      <w:r w:rsidR="001C7757" w:rsidRPr="004259D0">
        <w:rPr>
          <w:rFonts w:eastAsia="Times New Roman" w:cs="Times New Roman"/>
          <w:lang w:val="hr-HR" w:eastAsia="hr-HR"/>
        </w:rPr>
        <w:t xml:space="preserve"> </w:t>
      </w:r>
      <w:r w:rsidR="00023736" w:rsidRPr="004259D0">
        <w:rPr>
          <w:rFonts w:eastAsia="Times New Roman" w:cs="Times New Roman"/>
          <w:lang w:val="hr-HR" w:eastAsia="hr-HR"/>
        </w:rPr>
        <w:t>Pri tomu se očekuje da najdinamičnije komponente</w:t>
      </w:r>
      <w:r w:rsidR="001C7757" w:rsidRPr="004259D0">
        <w:rPr>
          <w:rFonts w:eastAsia="Times New Roman" w:cs="Times New Roman"/>
          <w:lang w:val="hr-HR" w:eastAsia="hr-HR"/>
        </w:rPr>
        <w:t xml:space="preserve"> </w:t>
      </w:r>
      <w:r w:rsidR="00023736" w:rsidRPr="004259D0">
        <w:rPr>
          <w:rFonts w:eastAsia="Times New Roman" w:cs="Times New Roman"/>
          <w:lang w:val="hr-HR" w:eastAsia="hr-HR"/>
        </w:rPr>
        <w:t xml:space="preserve">budu deflator državne potrošnje, </w:t>
      </w:r>
      <w:r w:rsidR="009352DF" w:rsidRPr="004259D0">
        <w:rPr>
          <w:rFonts w:eastAsia="Times New Roman" w:cs="Times New Roman"/>
          <w:lang w:val="hr-HR" w:eastAsia="hr-HR"/>
        </w:rPr>
        <w:t xml:space="preserve">čije će kretanje </w:t>
      </w:r>
      <w:r w:rsidR="00023736" w:rsidRPr="004259D0">
        <w:rPr>
          <w:rFonts w:eastAsia="Times New Roman" w:cs="Times New Roman"/>
          <w:lang w:val="hr-HR" w:eastAsia="hr-HR"/>
        </w:rPr>
        <w:t xml:space="preserve">odražavati </w:t>
      </w:r>
      <w:r w:rsidR="009352DF" w:rsidRPr="004259D0">
        <w:rPr>
          <w:rFonts w:eastAsia="Times New Roman" w:cs="Times New Roman"/>
          <w:lang w:val="hr-HR" w:eastAsia="hr-HR"/>
        </w:rPr>
        <w:t xml:space="preserve">očekivanu </w:t>
      </w:r>
      <w:r w:rsidR="00023736" w:rsidRPr="004259D0">
        <w:rPr>
          <w:rFonts w:eastAsia="Times New Roman" w:cs="Times New Roman"/>
          <w:lang w:val="hr-HR" w:eastAsia="hr-HR"/>
        </w:rPr>
        <w:t xml:space="preserve">putanju plaća u državnim </w:t>
      </w:r>
      <w:r w:rsidR="009352DF" w:rsidRPr="004259D0">
        <w:rPr>
          <w:rFonts w:eastAsia="Times New Roman" w:cs="Times New Roman"/>
          <w:lang w:val="hr-HR" w:eastAsia="hr-HR"/>
        </w:rPr>
        <w:t xml:space="preserve">i javnim </w:t>
      </w:r>
      <w:r w:rsidR="00023736" w:rsidRPr="004259D0">
        <w:rPr>
          <w:rFonts w:eastAsia="Times New Roman" w:cs="Times New Roman"/>
          <w:lang w:val="hr-HR" w:eastAsia="hr-HR"/>
        </w:rPr>
        <w:t xml:space="preserve">službama i </w:t>
      </w:r>
      <w:r w:rsidR="009352DF" w:rsidRPr="004259D0">
        <w:rPr>
          <w:rFonts w:eastAsia="Times New Roman" w:cs="Times New Roman"/>
          <w:lang w:val="hr-HR" w:eastAsia="hr-HR"/>
        </w:rPr>
        <w:t xml:space="preserve">postupno </w:t>
      </w:r>
      <w:r w:rsidR="00023736" w:rsidRPr="004259D0">
        <w:rPr>
          <w:rFonts w:eastAsia="Times New Roman" w:cs="Times New Roman"/>
          <w:lang w:val="hr-HR" w:eastAsia="hr-HR"/>
        </w:rPr>
        <w:t>ubrzanje potrošačkih cijena, te deflator</w:t>
      </w:r>
      <w:r w:rsidR="001C7757" w:rsidRPr="004259D0">
        <w:rPr>
          <w:rFonts w:eastAsia="Times New Roman" w:cs="Times New Roman"/>
          <w:lang w:val="hr-HR" w:eastAsia="hr-HR"/>
        </w:rPr>
        <w:t xml:space="preserve"> investicija</w:t>
      </w:r>
      <w:r w:rsidR="00023736" w:rsidRPr="004259D0">
        <w:rPr>
          <w:rFonts w:eastAsia="Times New Roman" w:cs="Times New Roman"/>
          <w:lang w:val="hr-HR" w:eastAsia="hr-HR"/>
        </w:rPr>
        <w:t xml:space="preserve">, uslijed dinamiziranja cijena </w:t>
      </w:r>
      <w:r w:rsidR="00DF552B" w:rsidRPr="004259D0">
        <w:rPr>
          <w:rFonts w:eastAsia="Times New Roman" w:cs="Times New Roman"/>
          <w:lang w:val="hr-HR" w:eastAsia="hr-HR"/>
        </w:rPr>
        <w:t>kapitalnih dobara</w:t>
      </w:r>
      <w:r w:rsidR="00023736" w:rsidRPr="004259D0">
        <w:rPr>
          <w:rFonts w:eastAsia="Times New Roman" w:cs="Times New Roman"/>
          <w:lang w:val="hr-HR" w:eastAsia="hr-HR"/>
        </w:rPr>
        <w:t xml:space="preserve"> </w:t>
      </w:r>
      <w:r w:rsidR="00DF552B" w:rsidRPr="004259D0">
        <w:rPr>
          <w:rFonts w:eastAsia="Times New Roman" w:cs="Times New Roman"/>
          <w:lang w:val="hr-HR" w:eastAsia="hr-HR"/>
        </w:rPr>
        <w:t>te nastavka rasta cijena u građevinarstvu</w:t>
      </w:r>
      <w:r w:rsidR="001C7757" w:rsidRPr="004259D0">
        <w:rPr>
          <w:rFonts w:eastAsia="Times New Roman" w:cs="Times New Roman"/>
          <w:lang w:val="hr-HR" w:eastAsia="hr-HR"/>
        </w:rPr>
        <w:t xml:space="preserve">. </w:t>
      </w:r>
      <w:r w:rsidR="00DF552B" w:rsidRPr="004259D0">
        <w:rPr>
          <w:rFonts w:eastAsia="Times New Roman" w:cs="Times New Roman"/>
          <w:lang w:val="hr-HR" w:eastAsia="hr-HR"/>
        </w:rPr>
        <w:t>Također, u</w:t>
      </w:r>
      <w:r w:rsidR="001C7757" w:rsidRPr="004259D0">
        <w:rPr>
          <w:rFonts w:eastAsia="Times New Roman" w:cs="Times New Roman"/>
          <w:lang w:val="hr-HR" w:eastAsia="hr-HR"/>
        </w:rPr>
        <w:t xml:space="preserve"> </w:t>
      </w:r>
      <w:r w:rsidR="00DF552B" w:rsidRPr="004259D0">
        <w:rPr>
          <w:rFonts w:eastAsia="Times New Roman" w:cs="Times New Roman"/>
          <w:lang w:val="hr-HR" w:eastAsia="hr-HR"/>
        </w:rPr>
        <w:t>ostatku projekcijskog razdoblja</w:t>
      </w:r>
      <w:r w:rsidR="001C7757" w:rsidRPr="004259D0">
        <w:rPr>
          <w:rFonts w:eastAsia="Times New Roman" w:cs="Times New Roman"/>
          <w:lang w:val="hr-HR" w:eastAsia="hr-HR"/>
        </w:rPr>
        <w:t xml:space="preserve"> očekuje se </w:t>
      </w:r>
      <w:r w:rsidR="00DF552B" w:rsidRPr="004259D0">
        <w:rPr>
          <w:rFonts w:eastAsia="Times New Roman" w:cs="Times New Roman"/>
          <w:lang w:val="hr-HR" w:eastAsia="hr-HR"/>
        </w:rPr>
        <w:t>nastavak pozitivnog doprinosa poboljšanja uvjeta razmjene roba i usluga</w:t>
      </w:r>
      <w:r w:rsidR="001C7757" w:rsidRPr="004259D0">
        <w:rPr>
          <w:rFonts w:eastAsia="Times New Roman" w:cs="Times New Roman"/>
          <w:lang w:val="hr-HR" w:eastAsia="hr-HR"/>
        </w:rPr>
        <w:t xml:space="preserve">, </w:t>
      </w:r>
      <w:r w:rsidR="00DF552B" w:rsidRPr="004259D0">
        <w:rPr>
          <w:rFonts w:eastAsia="Times New Roman" w:cs="Times New Roman"/>
          <w:lang w:val="hr-HR" w:eastAsia="hr-HR"/>
        </w:rPr>
        <w:t xml:space="preserve">pri čemu će uvjeti razmjene usluga odražavati daljnje slabljenje dinamike rasta cijena u </w:t>
      </w:r>
      <w:r w:rsidR="009352DF" w:rsidRPr="004259D0">
        <w:rPr>
          <w:rFonts w:eastAsia="Times New Roman" w:cs="Times New Roman"/>
          <w:lang w:val="hr-HR" w:eastAsia="hr-HR"/>
        </w:rPr>
        <w:t>turizmu</w:t>
      </w:r>
      <w:r w:rsidR="001C7757" w:rsidRPr="004259D0">
        <w:rPr>
          <w:rFonts w:eastAsia="Times New Roman" w:cs="Times New Roman"/>
          <w:lang w:val="hr-HR" w:eastAsia="hr-HR"/>
        </w:rPr>
        <w:t xml:space="preserve">, dok se kod </w:t>
      </w:r>
      <w:r w:rsidR="00DF552B" w:rsidRPr="004259D0">
        <w:rPr>
          <w:rFonts w:eastAsia="Times New Roman" w:cs="Times New Roman"/>
          <w:lang w:val="hr-HR" w:eastAsia="hr-HR"/>
        </w:rPr>
        <w:t xml:space="preserve">uvjeta razmjene </w:t>
      </w:r>
      <w:r w:rsidR="001C7757" w:rsidRPr="004259D0">
        <w:rPr>
          <w:rFonts w:eastAsia="Times New Roman" w:cs="Times New Roman"/>
          <w:lang w:val="hr-HR" w:eastAsia="hr-HR"/>
        </w:rPr>
        <w:t xml:space="preserve">roba očekuje </w:t>
      </w:r>
      <w:r w:rsidR="00DF552B" w:rsidRPr="004259D0">
        <w:rPr>
          <w:rFonts w:eastAsia="Times New Roman" w:cs="Times New Roman"/>
          <w:lang w:val="hr-HR" w:eastAsia="hr-HR"/>
        </w:rPr>
        <w:t>snažnije prelijevanje domaćih troškovnih pritisaka na deflator izvoza roba</w:t>
      </w:r>
      <w:r w:rsidR="001C7757" w:rsidRPr="004259D0">
        <w:rPr>
          <w:rFonts w:eastAsia="Times New Roman" w:cs="Times New Roman"/>
          <w:lang w:val="hr-HR" w:eastAsia="hr-HR"/>
        </w:rPr>
        <w:t>.</w:t>
      </w:r>
    </w:p>
    <w:p w14:paraId="1B01A17C" w14:textId="77777777" w:rsidR="00211811" w:rsidRPr="004259D0" w:rsidRDefault="00211811" w:rsidP="00211811">
      <w:pPr>
        <w:jc w:val="both"/>
        <w:rPr>
          <w:rFonts w:eastAsia="Times New Roman" w:cs="Times New Roman"/>
          <w:lang w:val="hr-HR" w:eastAsia="hr-HR"/>
        </w:rPr>
      </w:pPr>
    </w:p>
    <w:p w14:paraId="289CD4A9" w14:textId="77777777" w:rsidR="00211811" w:rsidRPr="004259D0" w:rsidRDefault="00211811" w:rsidP="00211811">
      <w:pPr>
        <w:jc w:val="both"/>
        <w:rPr>
          <w:rFonts w:eastAsia="Times New Roman" w:cs="Times New Roman"/>
          <w:color w:val="000000"/>
          <w:shd w:val="clear" w:color="auto" w:fill="FFFFFF"/>
          <w:lang w:val="hr-HR" w:eastAsia="hr-HR"/>
        </w:rPr>
      </w:pPr>
    </w:p>
    <w:p w14:paraId="0087942E" w14:textId="77777777" w:rsidR="00A86162" w:rsidRPr="004259D0" w:rsidRDefault="00A86162" w:rsidP="008160DF">
      <w:pPr>
        <w:pStyle w:val="Heading2"/>
        <w:numPr>
          <w:ilvl w:val="1"/>
          <w:numId w:val="1"/>
        </w:numPr>
        <w:rPr>
          <w:lang w:val="hr-HR"/>
        </w:rPr>
      </w:pPr>
      <w:bookmarkStart w:id="16" w:name="_Toc6418612"/>
      <w:r w:rsidRPr="004259D0">
        <w:rPr>
          <w:lang w:val="hr-HR"/>
        </w:rPr>
        <w:t>Tržište rada</w:t>
      </w:r>
      <w:bookmarkEnd w:id="16"/>
    </w:p>
    <w:p w14:paraId="6C4C63D4" w14:textId="77777777" w:rsidR="007F779C" w:rsidRPr="004259D0" w:rsidRDefault="007F779C" w:rsidP="00B32FF2">
      <w:pPr>
        <w:rPr>
          <w:lang w:val="hr-HR"/>
        </w:rPr>
      </w:pPr>
    </w:p>
    <w:p w14:paraId="3E26B5DA" w14:textId="3EB04FFC" w:rsidR="00172602" w:rsidRPr="004259D0" w:rsidRDefault="00172602" w:rsidP="00172602">
      <w:pPr>
        <w:jc w:val="both"/>
        <w:rPr>
          <w:rFonts w:eastAsia="Times New Roman" w:cs="Times New Roman"/>
          <w:color w:val="000000"/>
          <w:shd w:val="clear" w:color="auto" w:fill="FFFFFF"/>
          <w:lang w:val="hr-HR" w:eastAsia="hr-HR"/>
        </w:rPr>
      </w:pPr>
      <w:r w:rsidRPr="004259D0">
        <w:rPr>
          <w:rFonts w:eastAsia="Times New Roman" w:cs="Times New Roman"/>
          <w:color w:val="000000"/>
          <w:shd w:val="clear" w:color="auto" w:fill="FFFFFF"/>
          <w:lang w:val="hr-HR" w:eastAsia="hr-HR"/>
        </w:rPr>
        <w:t xml:space="preserve">Unatoč znatnom oporavku </w:t>
      </w:r>
      <w:r w:rsidR="00650AE5" w:rsidRPr="004259D0">
        <w:rPr>
          <w:rFonts w:eastAsia="Times New Roman" w:cs="Times New Roman"/>
          <w:color w:val="000000"/>
          <w:shd w:val="clear" w:color="auto" w:fill="FFFFFF"/>
          <w:lang w:val="hr-HR" w:eastAsia="hr-HR"/>
        </w:rPr>
        <w:t xml:space="preserve">u uvjetima </w:t>
      </w:r>
      <w:r w:rsidRPr="004259D0">
        <w:rPr>
          <w:rFonts w:eastAsia="Times New Roman" w:cs="Times New Roman"/>
          <w:color w:val="000000"/>
          <w:shd w:val="clear" w:color="auto" w:fill="FFFFFF"/>
          <w:lang w:val="hr-HR" w:eastAsia="hr-HR"/>
        </w:rPr>
        <w:t>povoljnih cikličkih kretanja, domaće trž</w:t>
      </w:r>
      <w:r w:rsidR="00FA523F" w:rsidRPr="004259D0">
        <w:rPr>
          <w:rFonts w:eastAsia="Times New Roman" w:cs="Times New Roman"/>
          <w:color w:val="000000"/>
          <w:shd w:val="clear" w:color="auto" w:fill="FFFFFF"/>
          <w:lang w:val="hr-HR" w:eastAsia="hr-HR"/>
        </w:rPr>
        <w:t xml:space="preserve">ište rada susreće </w:t>
      </w:r>
      <w:r w:rsidR="00650AE5" w:rsidRPr="004259D0">
        <w:rPr>
          <w:rFonts w:eastAsia="Times New Roman" w:cs="Times New Roman"/>
          <w:color w:val="000000"/>
          <w:shd w:val="clear" w:color="auto" w:fill="FFFFFF"/>
          <w:lang w:val="hr-HR" w:eastAsia="hr-HR"/>
        </w:rPr>
        <w:t xml:space="preserve">se </w:t>
      </w:r>
      <w:r w:rsidRPr="004259D0">
        <w:rPr>
          <w:rFonts w:eastAsia="Times New Roman" w:cs="Times New Roman"/>
          <w:color w:val="000000"/>
          <w:shd w:val="clear" w:color="auto" w:fill="FFFFFF"/>
          <w:lang w:val="hr-HR" w:eastAsia="hr-HR"/>
        </w:rPr>
        <w:t>s</w:t>
      </w:r>
      <w:r w:rsidR="00650AE5" w:rsidRPr="004259D0">
        <w:rPr>
          <w:rFonts w:eastAsia="Times New Roman" w:cs="Times New Roman"/>
          <w:color w:val="000000"/>
          <w:shd w:val="clear" w:color="auto" w:fill="FFFFFF"/>
          <w:lang w:val="hr-HR" w:eastAsia="hr-HR"/>
        </w:rPr>
        <w:t>a</w:t>
      </w:r>
      <w:r w:rsidRPr="004259D0">
        <w:rPr>
          <w:rFonts w:eastAsia="Times New Roman" w:cs="Times New Roman"/>
          <w:color w:val="000000"/>
          <w:shd w:val="clear" w:color="auto" w:fill="FFFFFF"/>
          <w:lang w:val="hr-HR" w:eastAsia="hr-HR"/>
        </w:rPr>
        <w:t xml:space="preserve"> </w:t>
      </w:r>
      <w:r w:rsidR="00650AE5" w:rsidRPr="004259D0">
        <w:rPr>
          <w:rFonts w:eastAsia="Times New Roman" w:cs="Times New Roman"/>
          <w:color w:val="000000"/>
          <w:shd w:val="clear" w:color="auto" w:fill="FFFFFF"/>
          <w:lang w:val="hr-HR" w:eastAsia="hr-HR"/>
        </w:rPr>
        <w:t>s</w:t>
      </w:r>
      <w:r w:rsidRPr="004259D0">
        <w:rPr>
          <w:rFonts w:eastAsia="Times New Roman" w:cs="Times New Roman"/>
          <w:color w:val="000000"/>
          <w:shd w:val="clear" w:color="auto" w:fill="FFFFFF"/>
          <w:lang w:val="hr-HR" w:eastAsia="hr-HR"/>
        </w:rPr>
        <w:t xml:space="preserve">trukturnim izazovima koji su se </w:t>
      </w:r>
      <w:r w:rsidR="00650AE5" w:rsidRPr="004259D0">
        <w:rPr>
          <w:rFonts w:eastAsia="Times New Roman" w:cs="Times New Roman"/>
          <w:color w:val="000000"/>
          <w:shd w:val="clear" w:color="auto" w:fill="FFFFFF"/>
          <w:lang w:val="hr-HR" w:eastAsia="hr-HR"/>
        </w:rPr>
        <w:t>posebno</w:t>
      </w:r>
      <w:r w:rsidRPr="004259D0">
        <w:rPr>
          <w:rFonts w:eastAsia="Times New Roman" w:cs="Times New Roman"/>
          <w:color w:val="000000"/>
          <w:shd w:val="clear" w:color="auto" w:fill="FFFFFF"/>
          <w:lang w:val="hr-HR" w:eastAsia="hr-HR"/>
        </w:rPr>
        <w:t xml:space="preserve"> intenzivirali posljednjih godina</w:t>
      </w:r>
      <w:r w:rsidR="006419E9" w:rsidRPr="004259D0">
        <w:rPr>
          <w:rFonts w:eastAsia="Times New Roman" w:cs="Times New Roman"/>
          <w:color w:val="000000"/>
          <w:shd w:val="clear" w:color="auto" w:fill="FFFFFF"/>
          <w:lang w:val="hr-HR" w:eastAsia="hr-HR"/>
        </w:rPr>
        <w:t>, s otvaranjem EU tržišta za domaće radnike</w:t>
      </w:r>
      <w:r w:rsidRPr="004259D0">
        <w:rPr>
          <w:rFonts w:eastAsia="Times New Roman" w:cs="Times New Roman"/>
          <w:color w:val="000000"/>
          <w:shd w:val="clear" w:color="auto" w:fill="FFFFFF"/>
          <w:lang w:val="hr-HR" w:eastAsia="hr-HR"/>
        </w:rPr>
        <w:t xml:space="preserve">. Neusklađenost ponude i potražnje za radom (neodgovarajuće obrazovanje, manjak vještina, slabo zastupljeno cjeloživotno učenje), nedovoljna iskorištenost (participacija) radne snage te kratak ostanak na tržištu rada, dodatno su ojačani negativnim demografskim kretanjima. U uvjetima visoke potražnje za radom, opisana kretanja dovela su do zamjetnog nedostatka radne snage, povećanim potrebama za uvozom radne snage i posljedičnih pritisaka na rast plaća u pojedinim deficitarnim djelatnostima. </w:t>
      </w:r>
    </w:p>
    <w:p w14:paraId="6E1B3ED7" w14:textId="0B34DA3A" w:rsidR="00172602" w:rsidRPr="004259D0" w:rsidRDefault="006419E9" w:rsidP="00172602">
      <w:pPr>
        <w:jc w:val="both"/>
        <w:rPr>
          <w:rFonts w:eastAsia="Times New Roman" w:cs="Times New Roman"/>
          <w:color w:val="000000"/>
          <w:shd w:val="clear" w:color="auto" w:fill="FFFFFF"/>
          <w:lang w:val="hr-HR" w:eastAsia="hr-HR"/>
        </w:rPr>
      </w:pPr>
      <w:r w:rsidRPr="004259D0">
        <w:rPr>
          <w:rFonts w:eastAsia="Times New Roman" w:cs="Times New Roman"/>
          <w:color w:val="000000"/>
          <w:shd w:val="clear" w:color="auto" w:fill="FFFFFF"/>
          <w:lang w:val="hr-HR" w:eastAsia="hr-HR"/>
        </w:rPr>
        <w:t xml:space="preserve">Radna snaga je, nakon prošlogodišnje stagnacije, u 2018. godini ponovno zabilježila pad, dok je rast broja zaposlenih </w:t>
      </w:r>
      <w:r w:rsidR="00172602" w:rsidRPr="004259D0">
        <w:rPr>
          <w:rFonts w:eastAsia="Times New Roman" w:cs="Times New Roman"/>
          <w:color w:val="000000"/>
          <w:shd w:val="clear" w:color="auto" w:fill="FFFFFF"/>
          <w:lang w:val="hr-HR" w:eastAsia="hr-HR"/>
        </w:rPr>
        <w:t>zabiljež</w:t>
      </w:r>
      <w:r w:rsidRPr="004259D0">
        <w:rPr>
          <w:rFonts w:eastAsia="Times New Roman" w:cs="Times New Roman"/>
          <w:color w:val="000000"/>
          <w:shd w:val="clear" w:color="auto" w:fill="FFFFFF"/>
          <w:lang w:val="hr-HR" w:eastAsia="hr-HR"/>
        </w:rPr>
        <w:t>io</w:t>
      </w:r>
      <w:r w:rsidR="00172602" w:rsidRPr="004259D0">
        <w:rPr>
          <w:rFonts w:eastAsia="Times New Roman" w:cs="Times New Roman"/>
          <w:color w:val="000000"/>
          <w:shd w:val="clear" w:color="auto" w:fill="FFFFFF"/>
          <w:lang w:val="hr-HR" w:eastAsia="hr-HR"/>
        </w:rPr>
        <w:t xml:space="preserve"> uspo</w:t>
      </w:r>
      <w:r w:rsidRPr="004259D0">
        <w:rPr>
          <w:rFonts w:eastAsia="Times New Roman" w:cs="Times New Roman"/>
          <w:color w:val="000000"/>
          <w:shd w:val="clear" w:color="auto" w:fill="FFFFFF"/>
          <w:lang w:val="hr-HR" w:eastAsia="hr-HR"/>
        </w:rPr>
        <w:t>ravanje.</w:t>
      </w:r>
      <w:r w:rsidR="00172602" w:rsidRPr="004259D0">
        <w:rPr>
          <w:rFonts w:eastAsia="Times New Roman" w:cs="Times New Roman"/>
          <w:color w:val="000000"/>
          <w:shd w:val="clear" w:color="auto" w:fill="FFFFFF"/>
          <w:lang w:val="hr-HR" w:eastAsia="hr-HR"/>
        </w:rPr>
        <w:t xml:space="preserve"> U narednom razdoblju očekuje se da će nastavak gospodarskog rasta imati pozitivan utjecaj na blago povećanje radne </w:t>
      </w:r>
      <w:r w:rsidR="00172602" w:rsidRPr="004259D0">
        <w:rPr>
          <w:rFonts w:eastAsia="Times New Roman" w:cs="Times New Roman"/>
          <w:shd w:val="clear" w:color="auto" w:fill="FFFFFF"/>
          <w:lang w:val="hr-HR" w:eastAsia="hr-HR"/>
        </w:rPr>
        <w:t xml:space="preserve">snage, a čemu će doprinijeti i mjere usmjerene na prilagodbu obrazovnog sustava potrebama tržišta rada te poticanje dužeg ostanka na tržištu rada u okviru mirovinske reforme. Ovdje je </w:t>
      </w:r>
      <w:r w:rsidR="0000532D" w:rsidRPr="004259D0">
        <w:rPr>
          <w:rFonts w:eastAsia="Times New Roman" w:cs="Times New Roman"/>
          <w:shd w:val="clear" w:color="auto" w:fill="FFFFFF"/>
          <w:lang w:val="hr-HR" w:eastAsia="hr-HR"/>
        </w:rPr>
        <w:t>ključna</w:t>
      </w:r>
      <w:r w:rsidR="00172602" w:rsidRPr="004259D0">
        <w:rPr>
          <w:rFonts w:eastAsia="Times New Roman" w:cs="Times New Roman"/>
          <w:shd w:val="clear" w:color="auto" w:fill="FFFFFF"/>
          <w:lang w:val="hr-HR" w:eastAsia="hr-HR"/>
        </w:rPr>
        <w:t xml:space="preserve"> pretpostavka o postupnom srednjoročnom</w:t>
      </w:r>
      <w:r w:rsidR="00172602" w:rsidRPr="004259D0">
        <w:rPr>
          <w:rFonts w:eastAsia="Times New Roman" w:cs="Times New Roman"/>
          <w:color w:val="000000"/>
          <w:shd w:val="clear" w:color="auto" w:fill="FFFFFF"/>
          <w:lang w:val="hr-HR" w:eastAsia="hr-HR"/>
        </w:rPr>
        <w:t xml:space="preserve"> usporavanju odljeva radno sposobnog stanovništva te daljnjoj planiran</w:t>
      </w:r>
      <w:r w:rsidR="0000532D" w:rsidRPr="004259D0">
        <w:rPr>
          <w:rFonts w:eastAsia="Times New Roman" w:cs="Times New Roman"/>
          <w:color w:val="000000"/>
          <w:shd w:val="clear" w:color="auto" w:fill="FFFFFF"/>
          <w:lang w:val="hr-HR" w:eastAsia="hr-HR"/>
        </w:rPr>
        <w:t>oj</w:t>
      </w:r>
      <w:r w:rsidR="00172602" w:rsidRPr="004259D0">
        <w:rPr>
          <w:rFonts w:eastAsia="Times New Roman" w:cs="Times New Roman"/>
          <w:color w:val="000000"/>
          <w:shd w:val="clear" w:color="auto" w:fill="FFFFFF"/>
          <w:lang w:val="hr-HR" w:eastAsia="hr-HR"/>
        </w:rPr>
        <w:t xml:space="preserve"> imigracij</w:t>
      </w:r>
      <w:r w:rsidR="0000532D" w:rsidRPr="004259D0">
        <w:rPr>
          <w:rFonts w:eastAsia="Times New Roman" w:cs="Times New Roman"/>
          <w:color w:val="000000"/>
          <w:shd w:val="clear" w:color="auto" w:fill="FFFFFF"/>
          <w:lang w:val="hr-HR" w:eastAsia="hr-HR"/>
        </w:rPr>
        <w:t>i</w:t>
      </w:r>
      <w:r w:rsidR="00172602" w:rsidRPr="004259D0">
        <w:rPr>
          <w:rFonts w:eastAsia="Times New Roman" w:cs="Times New Roman"/>
          <w:color w:val="000000"/>
          <w:shd w:val="clear" w:color="auto" w:fill="FFFFFF"/>
          <w:lang w:val="hr-HR" w:eastAsia="hr-HR"/>
        </w:rPr>
        <w:t xml:space="preserve"> kroz sustav kvota. Povećanje zaposlenosti nastavit će se i u narednom srednjoročnom razdoblju, iako </w:t>
      </w:r>
      <w:r w:rsidR="0000532D" w:rsidRPr="004259D0">
        <w:rPr>
          <w:rFonts w:eastAsia="Times New Roman" w:cs="Times New Roman"/>
          <w:color w:val="000000"/>
          <w:shd w:val="clear" w:color="auto" w:fill="FFFFFF"/>
          <w:lang w:val="hr-HR" w:eastAsia="hr-HR"/>
        </w:rPr>
        <w:t>usporavajućom</w:t>
      </w:r>
      <w:r w:rsidR="00172602" w:rsidRPr="004259D0">
        <w:rPr>
          <w:rFonts w:eastAsia="Times New Roman" w:cs="Times New Roman"/>
          <w:color w:val="000000"/>
          <w:shd w:val="clear" w:color="auto" w:fill="FFFFFF"/>
          <w:lang w:val="hr-HR" w:eastAsia="hr-HR"/>
        </w:rPr>
        <w:t xml:space="preserve"> dinamikom, uz zaustavljanje trenda pada broja samozaposlenih. Uslijed opisanih kretanja, predviđa se </w:t>
      </w:r>
      <w:r w:rsidR="00BB2333" w:rsidRPr="004259D0">
        <w:rPr>
          <w:rFonts w:eastAsia="Times New Roman" w:cs="Times New Roman"/>
          <w:color w:val="000000"/>
          <w:shd w:val="clear" w:color="auto" w:fill="FFFFFF"/>
          <w:lang w:val="hr-HR" w:eastAsia="hr-HR"/>
        </w:rPr>
        <w:t>daljnje</w:t>
      </w:r>
      <w:r w:rsidR="00172602" w:rsidRPr="004259D0">
        <w:rPr>
          <w:rFonts w:eastAsia="Times New Roman" w:cs="Times New Roman"/>
          <w:color w:val="000000"/>
          <w:shd w:val="clear" w:color="auto" w:fill="FFFFFF"/>
          <w:lang w:val="hr-HR" w:eastAsia="hr-HR"/>
        </w:rPr>
        <w:t xml:space="preserve"> smanjenje stope nezaposlenosti</w:t>
      </w:r>
      <w:r w:rsidR="0000532D" w:rsidRPr="004259D0">
        <w:rPr>
          <w:rFonts w:eastAsia="Times New Roman" w:cs="Times New Roman"/>
          <w:color w:val="000000"/>
          <w:shd w:val="clear" w:color="auto" w:fill="FFFFFF"/>
          <w:lang w:val="hr-HR" w:eastAsia="hr-HR"/>
        </w:rPr>
        <w:t xml:space="preserve">, koje će biti tek neznatno na kraju razdoblja kada se očekuje </w:t>
      </w:r>
      <w:r w:rsidR="00211811" w:rsidRPr="004259D0">
        <w:rPr>
          <w:rFonts w:eastAsia="Times New Roman" w:cs="Times New Roman"/>
          <w:color w:val="000000"/>
          <w:shd w:val="clear" w:color="auto" w:fill="FFFFFF"/>
          <w:lang w:val="hr-HR" w:eastAsia="hr-HR"/>
        </w:rPr>
        <w:t xml:space="preserve">stabilizacija </w:t>
      </w:r>
      <w:r w:rsidR="0000532D" w:rsidRPr="004259D0">
        <w:rPr>
          <w:rFonts w:eastAsia="Times New Roman" w:cs="Times New Roman"/>
          <w:color w:val="000000"/>
          <w:shd w:val="clear" w:color="auto" w:fill="FFFFFF"/>
          <w:lang w:val="hr-HR" w:eastAsia="hr-HR"/>
        </w:rPr>
        <w:t>stop</w:t>
      </w:r>
      <w:r w:rsidR="00211811" w:rsidRPr="004259D0">
        <w:rPr>
          <w:rFonts w:eastAsia="Times New Roman" w:cs="Times New Roman"/>
          <w:color w:val="000000"/>
          <w:shd w:val="clear" w:color="auto" w:fill="FFFFFF"/>
          <w:lang w:val="hr-HR" w:eastAsia="hr-HR"/>
        </w:rPr>
        <w:t xml:space="preserve">e anketne nezaposlenosti </w:t>
      </w:r>
      <w:r w:rsidR="0000532D" w:rsidRPr="004259D0">
        <w:rPr>
          <w:rFonts w:eastAsia="Times New Roman" w:cs="Times New Roman"/>
          <w:color w:val="000000"/>
          <w:shd w:val="clear" w:color="auto" w:fill="FFFFFF"/>
          <w:lang w:val="hr-HR" w:eastAsia="hr-HR"/>
        </w:rPr>
        <w:t>na</w:t>
      </w:r>
      <w:r w:rsidR="00211811" w:rsidRPr="004259D0">
        <w:rPr>
          <w:rFonts w:eastAsia="Times New Roman" w:cs="Times New Roman"/>
          <w:color w:val="000000"/>
          <w:shd w:val="clear" w:color="auto" w:fill="FFFFFF"/>
          <w:lang w:val="hr-HR" w:eastAsia="hr-HR"/>
        </w:rPr>
        <w:t xml:space="preserve"> razini</w:t>
      </w:r>
      <w:r w:rsidR="0000532D" w:rsidRPr="004259D0">
        <w:rPr>
          <w:rFonts w:eastAsia="Times New Roman" w:cs="Times New Roman"/>
          <w:color w:val="000000"/>
          <w:shd w:val="clear" w:color="auto" w:fill="FFFFFF"/>
          <w:lang w:val="hr-HR" w:eastAsia="hr-HR"/>
        </w:rPr>
        <w:t xml:space="preserve"> ispod 6%</w:t>
      </w:r>
      <w:r w:rsidR="00172602" w:rsidRPr="004259D0">
        <w:rPr>
          <w:rFonts w:eastAsia="Times New Roman" w:cs="Times New Roman"/>
          <w:color w:val="000000"/>
          <w:shd w:val="clear" w:color="auto" w:fill="FFFFFF"/>
          <w:lang w:val="hr-HR" w:eastAsia="hr-HR"/>
        </w:rPr>
        <w:t xml:space="preserve">. </w:t>
      </w:r>
      <w:r w:rsidR="00211811" w:rsidRPr="004259D0">
        <w:rPr>
          <w:rFonts w:eastAsia="Times New Roman" w:cs="Times New Roman"/>
          <w:color w:val="000000"/>
          <w:shd w:val="clear" w:color="auto" w:fill="FFFFFF"/>
          <w:lang w:val="hr-HR" w:eastAsia="hr-HR"/>
        </w:rPr>
        <w:t>K</w:t>
      </w:r>
      <w:r w:rsidR="00172602" w:rsidRPr="004259D0">
        <w:rPr>
          <w:rFonts w:eastAsia="Times New Roman" w:cs="Times New Roman"/>
          <w:color w:val="000000"/>
          <w:shd w:val="clear" w:color="auto" w:fill="FFFFFF"/>
          <w:lang w:val="hr-HR" w:eastAsia="hr-HR"/>
        </w:rPr>
        <w:t>retanje BDP-a te zaposlen</w:t>
      </w:r>
      <w:r w:rsidR="00211811" w:rsidRPr="004259D0">
        <w:rPr>
          <w:rFonts w:eastAsia="Times New Roman" w:cs="Times New Roman"/>
          <w:color w:val="000000"/>
          <w:shd w:val="clear" w:color="auto" w:fill="FFFFFF"/>
          <w:lang w:val="hr-HR" w:eastAsia="hr-HR"/>
        </w:rPr>
        <w:t>osti u srednjem roku rezultirat</w:t>
      </w:r>
      <w:r w:rsidR="00172602" w:rsidRPr="004259D0">
        <w:rPr>
          <w:rFonts w:eastAsia="Times New Roman" w:cs="Times New Roman"/>
          <w:color w:val="000000"/>
          <w:shd w:val="clear" w:color="auto" w:fill="FFFFFF"/>
          <w:lang w:val="hr-HR" w:eastAsia="hr-HR"/>
        </w:rPr>
        <w:t xml:space="preserve"> </w:t>
      </w:r>
      <w:r w:rsidR="00211811" w:rsidRPr="004259D0">
        <w:rPr>
          <w:rFonts w:eastAsia="Times New Roman" w:cs="Times New Roman"/>
          <w:color w:val="000000"/>
          <w:shd w:val="clear" w:color="auto" w:fill="FFFFFF"/>
          <w:lang w:val="hr-HR" w:eastAsia="hr-HR"/>
        </w:rPr>
        <w:t xml:space="preserve">će </w:t>
      </w:r>
      <w:r w:rsidR="00172602" w:rsidRPr="004259D0">
        <w:rPr>
          <w:rFonts w:eastAsia="Times New Roman" w:cs="Times New Roman"/>
          <w:color w:val="000000"/>
          <w:shd w:val="clear" w:color="auto" w:fill="FFFFFF"/>
          <w:lang w:val="hr-HR" w:eastAsia="hr-HR"/>
        </w:rPr>
        <w:t xml:space="preserve">kontinuiranim rastom produktivnosti rada. </w:t>
      </w:r>
    </w:p>
    <w:p w14:paraId="2646A55C" w14:textId="11DBC0EA" w:rsidR="00172602" w:rsidRPr="004259D0" w:rsidRDefault="00172602" w:rsidP="00172602">
      <w:pPr>
        <w:jc w:val="both"/>
        <w:rPr>
          <w:rFonts w:eastAsia="Times New Roman" w:cs="Times New Roman"/>
          <w:color w:val="000000"/>
          <w:shd w:val="clear" w:color="auto" w:fill="FFFFFF"/>
          <w:lang w:val="hr-HR" w:eastAsia="hr-HR"/>
        </w:rPr>
      </w:pPr>
      <w:r w:rsidRPr="004259D0">
        <w:rPr>
          <w:rFonts w:eastAsia="Times New Roman" w:cs="Times New Roman"/>
          <w:color w:val="000000"/>
          <w:shd w:val="clear" w:color="auto" w:fill="FFFFFF"/>
          <w:lang w:val="hr-HR" w:eastAsia="hr-HR"/>
        </w:rPr>
        <w:t xml:space="preserve">Očekuje se kako će </w:t>
      </w:r>
      <w:r w:rsidR="00211811" w:rsidRPr="004259D0">
        <w:rPr>
          <w:rFonts w:eastAsia="Times New Roman" w:cs="Times New Roman"/>
          <w:color w:val="000000"/>
          <w:shd w:val="clear" w:color="auto" w:fill="FFFFFF"/>
          <w:lang w:val="hr-HR" w:eastAsia="hr-HR"/>
        </w:rPr>
        <w:t xml:space="preserve">rast </w:t>
      </w:r>
      <w:r w:rsidRPr="004259D0">
        <w:rPr>
          <w:rFonts w:eastAsia="Times New Roman" w:cs="Times New Roman"/>
          <w:color w:val="000000"/>
          <w:shd w:val="clear" w:color="auto" w:fill="FFFFFF"/>
          <w:lang w:val="hr-HR" w:eastAsia="hr-HR"/>
        </w:rPr>
        <w:t>bruto plać</w:t>
      </w:r>
      <w:r w:rsidR="00211811" w:rsidRPr="004259D0">
        <w:rPr>
          <w:rFonts w:eastAsia="Times New Roman" w:cs="Times New Roman"/>
          <w:color w:val="000000"/>
          <w:shd w:val="clear" w:color="auto" w:fill="FFFFFF"/>
          <w:lang w:val="hr-HR" w:eastAsia="hr-HR"/>
        </w:rPr>
        <w:t>a</w:t>
      </w:r>
      <w:r w:rsidRPr="004259D0">
        <w:rPr>
          <w:rFonts w:eastAsia="Times New Roman" w:cs="Times New Roman"/>
          <w:color w:val="000000"/>
          <w:shd w:val="clear" w:color="auto" w:fill="FFFFFF"/>
          <w:lang w:val="hr-HR" w:eastAsia="hr-HR"/>
        </w:rPr>
        <w:t xml:space="preserve"> (zaposlenih u pravnim osobama) u 2019. blago usporiti</w:t>
      </w:r>
      <w:r w:rsidR="00211811" w:rsidRPr="004259D0">
        <w:rPr>
          <w:rFonts w:eastAsia="Times New Roman" w:cs="Times New Roman"/>
          <w:color w:val="000000"/>
          <w:shd w:val="clear" w:color="auto" w:fill="FFFFFF"/>
          <w:lang w:val="hr-HR" w:eastAsia="hr-HR"/>
        </w:rPr>
        <w:t>,</w:t>
      </w:r>
      <w:r w:rsidRPr="004259D0">
        <w:rPr>
          <w:rFonts w:eastAsia="Times New Roman" w:cs="Times New Roman"/>
          <w:color w:val="000000"/>
          <w:shd w:val="clear" w:color="auto" w:fill="FFFFFF"/>
          <w:lang w:val="hr-HR" w:eastAsia="hr-HR"/>
        </w:rPr>
        <w:t xml:space="preserve"> </w:t>
      </w:r>
      <w:r w:rsidR="0073556D" w:rsidRPr="004259D0">
        <w:rPr>
          <w:rFonts w:eastAsia="Times New Roman" w:cs="Times New Roman"/>
          <w:color w:val="000000"/>
          <w:shd w:val="clear" w:color="auto" w:fill="FFFFFF"/>
          <w:lang w:val="hr-HR" w:eastAsia="hr-HR"/>
        </w:rPr>
        <w:t>nastavno na primjetno mijenjanje trenda već krajem 2018.</w:t>
      </w:r>
      <w:r w:rsidR="00211811" w:rsidRPr="004259D0">
        <w:rPr>
          <w:rFonts w:eastAsia="Times New Roman" w:cs="Times New Roman"/>
          <w:color w:val="000000"/>
          <w:shd w:val="clear" w:color="auto" w:fill="FFFFFF"/>
          <w:lang w:val="hr-HR" w:eastAsia="hr-HR"/>
        </w:rPr>
        <w:t>,</w:t>
      </w:r>
      <w:r w:rsidR="0073556D" w:rsidRPr="004259D0">
        <w:rPr>
          <w:rFonts w:eastAsia="Times New Roman" w:cs="Times New Roman"/>
          <w:color w:val="000000"/>
          <w:shd w:val="clear" w:color="auto" w:fill="FFFFFF"/>
          <w:lang w:val="hr-HR" w:eastAsia="hr-HR"/>
        </w:rPr>
        <w:t xml:space="preserve"> </w:t>
      </w:r>
      <w:r w:rsidR="00211811" w:rsidRPr="004259D0">
        <w:rPr>
          <w:rFonts w:eastAsia="Times New Roman" w:cs="Times New Roman"/>
          <w:color w:val="000000"/>
          <w:shd w:val="clear" w:color="auto" w:fill="FFFFFF"/>
          <w:lang w:val="hr-HR" w:eastAsia="hr-HR"/>
        </w:rPr>
        <w:t>te</w:t>
      </w:r>
      <w:r w:rsidRPr="004259D0">
        <w:rPr>
          <w:rFonts w:eastAsia="Times New Roman" w:cs="Times New Roman"/>
          <w:color w:val="000000"/>
          <w:shd w:val="clear" w:color="auto" w:fill="FFFFFF"/>
          <w:lang w:val="hr-HR" w:eastAsia="hr-HR"/>
        </w:rPr>
        <w:t xml:space="preserve"> </w:t>
      </w:r>
      <w:r w:rsidR="008C6CD4" w:rsidRPr="004259D0">
        <w:rPr>
          <w:rFonts w:eastAsia="Times New Roman" w:cs="Times New Roman"/>
          <w:color w:val="000000"/>
          <w:shd w:val="clear" w:color="auto" w:fill="FFFFFF"/>
          <w:lang w:val="hr-HR" w:eastAsia="hr-HR"/>
        </w:rPr>
        <w:t>i dalje biti</w:t>
      </w:r>
      <w:r w:rsidRPr="004259D0">
        <w:rPr>
          <w:rFonts w:eastAsia="Times New Roman" w:cs="Times New Roman"/>
          <w:color w:val="000000"/>
          <w:shd w:val="clear" w:color="auto" w:fill="FFFFFF"/>
          <w:lang w:val="hr-HR" w:eastAsia="hr-HR"/>
        </w:rPr>
        <w:t xml:space="preserve"> ponajviše pod utjecajem neravnoteža ponude i potražnje za radom u pojedinim djelatnostima, </w:t>
      </w:r>
      <w:r w:rsidR="008C6CD4" w:rsidRPr="004259D0">
        <w:rPr>
          <w:rFonts w:eastAsia="Times New Roman" w:cs="Times New Roman"/>
          <w:color w:val="000000"/>
          <w:shd w:val="clear" w:color="auto" w:fill="FFFFFF"/>
          <w:lang w:val="hr-HR" w:eastAsia="hr-HR"/>
        </w:rPr>
        <w:t xml:space="preserve">uz pozitivan doprinos </w:t>
      </w:r>
      <w:r w:rsidRPr="004259D0">
        <w:rPr>
          <w:rFonts w:eastAsia="Times New Roman" w:cs="Times New Roman"/>
          <w:color w:val="000000"/>
          <w:shd w:val="clear" w:color="auto" w:fill="FFFFFF"/>
          <w:lang w:val="hr-HR" w:eastAsia="hr-HR"/>
        </w:rPr>
        <w:t>povećanja osnovice za plaće u javnom i državnom sektoru</w:t>
      </w:r>
      <w:r w:rsidRPr="004259D0">
        <w:rPr>
          <w:rStyle w:val="FootnoteReference"/>
          <w:rFonts w:eastAsia="Times New Roman"/>
          <w:color w:val="000000"/>
          <w:shd w:val="clear" w:color="auto" w:fill="FFFFFF"/>
          <w:lang w:val="hr-HR" w:eastAsia="hr-HR"/>
        </w:rPr>
        <w:footnoteReference w:id="19"/>
      </w:r>
      <w:r w:rsidRPr="004259D0">
        <w:rPr>
          <w:rFonts w:eastAsia="Times New Roman" w:cs="Times New Roman"/>
          <w:color w:val="000000"/>
          <w:shd w:val="clear" w:color="auto" w:fill="FFFFFF"/>
          <w:lang w:val="hr-HR" w:eastAsia="hr-HR"/>
        </w:rPr>
        <w:t xml:space="preserve"> te rasta minimalne plaće</w:t>
      </w:r>
      <w:r w:rsidRPr="004259D0">
        <w:rPr>
          <w:rStyle w:val="FootnoteReference"/>
          <w:rFonts w:eastAsia="Times New Roman"/>
          <w:color w:val="000000"/>
          <w:shd w:val="clear" w:color="auto" w:fill="FFFFFF"/>
          <w:lang w:val="hr-HR" w:eastAsia="hr-HR"/>
        </w:rPr>
        <w:footnoteReference w:id="20"/>
      </w:r>
      <w:r w:rsidRPr="004259D0">
        <w:rPr>
          <w:rFonts w:eastAsia="Times New Roman" w:cs="Times New Roman"/>
          <w:color w:val="000000"/>
          <w:shd w:val="clear" w:color="auto" w:fill="FFFFFF"/>
          <w:lang w:val="hr-HR" w:eastAsia="hr-HR"/>
        </w:rPr>
        <w:t>. Uslijed bržeg rasta bruto naknada po zaposleniku od rasta produktivnosti rada, kroz čitavo srednjoročno razdoblje predviđa se rast jediničnog troška rada</w:t>
      </w:r>
      <w:r w:rsidR="00CB12C4" w:rsidRPr="004259D0">
        <w:rPr>
          <w:rFonts w:eastAsia="Times New Roman" w:cs="Times New Roman"/>
          <w:color w:val="000000"/>
          <w:shd w:val="clear" w:color="auto" w:fill="FFFFFF"/>
          <w:lang w:val="hr-HR" w:eastAsia="hr-HR"/>
        </w:rPr>
        <w:t xml:space="preserve"> od oko 2%</w:t>
      </w:r>
      <w:r w:rsidRPr="004259D0">
        <w:rPr>
          <w:rFonts w:eastAsia="Times New Roman" w:cs="Times New Roman"/>
          <w:color w:val="000000"/>
          <w:shd w:val="clear" w:color="auto" w:fill="FFFFFF"/>
          <w:lang w:val="hr-HR" w:eastAsia="hr-HR"/>
        </w:rPr>
        <w:t xml:space="preserve">. </w:t>
      </w:r>
    </w:p>
    <w:p w14:paraId="4937A018" w14:textId="77777777" w:rsidR="00036748" w:rsidRPr="004259D0" w:rsidRDefault="00036748">
      <w:pPr>
        <w:rPr>
          <w:i/>
          <w:lang w:val="hr-HR"/>
        </w:rPr>
      </w:pPr>
      <w:r w:rsidRPr="004259D0">
        <w:rPr>
          <w:i/>
          <w:lang w:val="hr-HR"/>
        </w:rPr>
        <w:br w:type="page"/>
      </w:r>
    </w:p>
    <w:p w14:paraId="5C3464AF" w14:textId="6B236DC9" w:rsidR="00F03B9B" w:rsidRPr="004259D0" w:rsidRDefault="000865CF" w:rsidP="00D12C95">
      <w:pPr>
        <w:spacing w:after="0" w:line="240" w:lineRule="auto"/>
        <w:rPr>
          <w:i/>
          <w:lang w:val="hr-HR"/>
        </w:rPr>
      </w:pPr>
      <w:bookmarkStart w:id="17" w:name="_Toc6418636"/>
      <w:r w:rsidRPr="004259D0">
        <w:rPr>
          <w:i/>
          <w:lang w:val="hr-HR"/>
        </w:rPr>
        <w:t xml:space="preserve">Tablica </w:t>
      </w:r>
      <w:r w:rsidR="00821428" w:rsidRPr="004259D0">
        <w:rPr>
          <w:i/>
          <w:lang w:val="hr-HR"/>
        </w:rPr>
        <w:fldChar w:fldCharType="begin"/>
      </w:r>
      <w:r w:rsidR="00821428" w:rsidRPr="004259D0">
        <w:rPr>
          <w:i/>
          <w:lang w:val="hr-HR"/>
        </w:rPr>
        <w:instrText xml:space="preserve"> STYLEREF 1 \s </w:instrText>
      </w:r>
      <w:r w:rsidR="00821428" w:rsidRPr="004259D0">
        <w:rPr>
          <w:i/>
          <w:lang w:val="hr-HR"/>
        </w:rPr>
        <w:fldChar w:fldCharType="separate"/>
      </w:r>
      <w:r w:rsidR="00572AFD">
        <w:rPr>
          <w:i/>
          <w:noProof/>
          <w:lang w:val="hr-HR"/>
        </w:rPr>
        <w:t>2</w:t>
      </w:r>
      <w:r w:rsidR="00821428" w:rsidRPr="004259D0">
        <w:rPr>
          <w:i/>
          <w:lang w:val="hr-HR"/>
        </w:rPr>
        <w:fldChar w:fldCharType="end"/>
      </w:r>
      <w:r w:rsidR="00821428" w:rsidRPr="004259D0">
        <w:rPr>
          <w:i/>
          <w:lang w:val="hr-HR"/>
        </w:rPr>
        <w:t>.</w:t>
      </w:r>
      <w:r w:rsidR="00821428" w:rsidRPr="004259D0">
        <w:rPr>
          <w:i/>
          <w:lang w:val="hr-HR"/>
        </w:rPr>
        <w:fldChar w:fldCharType="begin"/>
      </w:r>
      <w:r w:rsidR="00821428" w:rsidRPr="004259D0">
        <w:rPr>
          <w:i/>
          <w:lang w:val="hr-HR"/>
        </w:rPr>
        <w:instrText xml:space="preserve"> SEQ Tablica \* ARABIC \s 1 </w:instrText>
      </w:r>
      <w:r w:rsidR="00821428" w:rsidRPr="004259D0">
        <w:rPr>
          <w:i/>
          <w:lang w:val="hr-HR"/>
        </w:rPr>
        <w:fldChar w:fldCharType="separate"/>
      </w:r>
      <w:r w:rsidR="00572AFD">
        <w:rPr>
          <w:i/>
          <w:noProof/>
          <w:lang w:val="hr-HR"/>
        </w:rPr>
        <w:t>4</w:t>
      </w:r>
      <w:r w:rsidR="00821428" w:rsidRPr="004259D0">
        <w:rPr>
          <w:i/>
          <w:lang w:val="hr-HR"/>
        </w:rPr>
        <w:fldChar w:fldCharType="end"/>
      </w:r>
      <w:r w:rsidR="00A86162" w:rsidRPr="004259D0">
        <w:rPr>
          <w:i/>
          <w:lang w:val="hr-HR"/>
        </w:rPr>
        <w:t>. Kretanja na tržištu rada</w:t>
      </w:r>
      <w:bookmarkEnd w:id="17"/>
    </w:p>
    <w:p w14:paraId="33D3C07D" w14:textId="76FE3CC2" w:rsidR="00172602" w:rsidRPr="004259D0" w:rsidRDefault="00036748" w:rsidP="00172602">
      <w:pPr>
        <w:spacing w:after="0"/>
        <w:jc w:val="both"/>
        <w:rPr>
          <w:i/>
          <w:sz w:val="20"/>
          <w:lang w:val="hr-HR"/>
        </w:rPr>
      </w:pPr>
      <w:r w:rsidRPr="004259D0">
        <w:rPr>
          <w:noProof/>
          <w:lang w:val="hr-HR" w:eastAsia="hr-HR"/>
        </w:rPr>
        <w:drawing>
          <wp:inline distT="0" distB="0" distL="0" distR="0" wp14:anchorId="451AA515" wp14:editId="13727095">
            <wp:extent cx="5013497" cy="1958197"/>
            <wp:effectExtent l="0" t="0" r="0" b="4445"/>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3613" cy="1958242"/>
                    </a:xfrm>
                    <a:prstGeom prst="rect">
                      <a:avLst/>
                    </a:prstGeom>
                    <a:noFill/>
                    <a:ln>
                      <a:noFill/>
                    </a:ln>
                  </pic:spPr>
                </pic:pic>
              </a:graphicData>
            </a:graphic>
          </wp:inline>
        </w:drawing>
      </w:r>
    </w:p>
    <w:p w14:paraId="2855CAF0" w14:textId="333F7B21" w:rsidR="00036748" w:rsidRPr="004259D0" w:rsidRDefault="00036748" w:rsidP="00036748">
      <w:pPr>
        <w:spacing w:after="0"/>
        <w:jc w:val="both"/>
        <w:rPr>
          <w:i/>
          <w:sz w:val="20"/>
          <w:lang w:val="hr-HR"/>
        </w:rPr>
      </w:pPr>
      <w:r w:rsidRPr="004259D0">
        <w:rPr>
          <w:i/>
          <w:sz w:val="20"/>
          <w:vertAlign w:val="superscript"/>
          <w:lang w:val="hr-HR"/>
        </w:rPr>
        <w:t>1</w:t>
      </w:r>
      <w:r w:rsidRPr="004259D0">
        <w:rPr>
          <w:i/>
          <w:sz w:val="20"/>
          <w:lang w:val="hr-HR"/>
        </w:rPr>
        <w:t xml:space="preserve"> Prema anketi o radnoj snazi.</w:t>
      </w:r>
    </w:p>
    <w:p w14:paraId="7E57259C" w14:textId="4CF3C2DC" w:rsidR="00036748" w:rsidRPr="004259D0" w:rsidRDefault="00036748" w:rsidP="00036748">
      <w:pPr>
        <w:spacing w:after="0"/>
        <w:jc w:val="both"/>
        <w:rPr>
          <w:i/>
          <w:sz w:val="20"/>
          <w:lang w:val="hr-HR"/>
        </w:rPr>
      </w:pPr>
      <w:r w:rsidRPr="004259D0">
        <w:rPr>
          <w:i/>
          <w:sz w:val="20"/>
          <w:vertAlign w:val="superscript"/>
          <w:lang w:val="hr-HR"/>
        </w:rPr>
        <w:t>2</w:t>
      </w:r>
      <w:r w:rsidRPr="004259D0">
        <w:rPr>
          <w:i/>
          <w:sz w:val="20"/>
          <w:lang w:val="hr-HR"/>
        </w:rPr>
        <w:t xml:space="preserve"> Prema definiciji nacionalnih računa.</w:t>
      </w:r>
    </w:p>
    <w:p w14:paraId="704ADC5D" w14:textId="2861E40C" w:rsidR="00036748" w:rsidRPr="004259D0" w:rsidRDefault="00036748" w:rsidP="00036748">
      <w:pPr>
        <w:spacing w:after="0"/>
        <w:jc w:val="both"/>
        <w:rPr>
          <w:i/>
          <w:sz w:val="20"/>
          <w:lang w:val="hr-HR"/>
        </w:rPr>
      </w:pPr>
      <w:r w:rsidRPr="004259D0">
        <w:rPr>
          <w:i/>
          <w:sz w:val="20"/>
          <w:vertAlign w:val="superscript"/>
          <w:lang w:val="hr-HR"/>
        </w:rPr>
        <w:t xml:space="preserve">3 </w:t>
      </w:r>
      <w:r w:rsidRPr="004259D0">
        <w:rPr>
          <w:i/>
          <w:sz w:val="20"/>
          <w:lang w:val="hr-HR"/>
        </w:rPr>
        <w:t>Administrativni izvori.</w:t>
      </w:r>
    </w:p>
    <w:p w14:paraId="61077520" w14:textId="77777777" w:rsidR="00A86162" w:rsidRPr="004259D0" w:rsidRDefault="00A86162" w:rsidP="00036748">
      <w:pPr>
        <w:spacing w:after="0"/>
        <w:jc w:val="both"/>
        <w:rPr>
          <w:i/>
          <w:sz w:val="20"/>
          <w:lang w:val="hr-HR"/>
        </w:rPr>
      </w:pPr>
      <w:r w:rsidRPr="004259D0">
        <w:rPr>
          <w:i/>
          <w:sz w:val="20"/>
          <w:lang w:val="hr-HR"/>
        </w:rPr>
        <w:t>Izvor: Državni zavod za statistiku, Ministarstvo financija</w:t>
      </w:r>
    </w:p>
    <w:p w14:paraId="76252783" w14:textId="77777777" w:rsidR="00FD5D86" w:rsidRPr="004259D0" w:rsidRDefault="00FD5D86" w:rsidP="00A86162">
      <w:pPr>
        <w:jc w:val="both"/>
        <w:rPr>
          <w:lang w:val="hr-HR"/>
        </w:rPr>
      </w:pPr>
    </w:p>
    <w:p w14:paraId="084ECE30" w14:textId="77777777" w:rsidR="000C418A" w:rsidRPr="004259D0" w:rsidRDefault="000C418A" w:rsidP="00A86162">
      <w:pPr>
        <w:jc w:val="both"/>
        <w:rPr>
          <w:lang w:val="hr-HR"/>
        </w:rPr>
      </w:pPr>
    </w:p>
    <w:p w14:paraId="0A69B318" w14:textId="77777777" w:rsidR="00A86162" w:rsidRPr="004259D0" w:rsidRDefault="00A86162" w:rsidP="008160DF">
      <w:pPr>
        <w:pStyle w:val="Heading2"/>
        <w:numPr>
          <w:ilvl w:val="1"/>
          <w:numId w:val="1"/>
        </w:numPr>
        <w:rPr>
          <w:lang w:val="hr-HR"/>
        </w:rPr>
      </w:pPr>
      <w:bookmarkStart w:id="18" w:name="_Toc6418613"/>
      <w:r w:rsidRPr="004259D0">
        <w:rPr>
          <w:lang w:val="hr-HR"/>
        </w:rPr>
        <w:t>Vanjski sektor</w:t>
      </w:r>
      <w:bookmarkEnd w:id="18"/>
      <w:r w:rsidRPr="004259D0">
        <w:rPr>
          <w:lang w:val="hr-HR"/>
        </w:rPr>
        <w:t xml:space="preserve"> </w:t>
      </w:r>
    </w:p>
    <w:p w14:paraId="140865C8" w14:textId="77777777" w:rsidR="00B32FF2" w:rsidRPr="004259D0" w:rsidRDefault="00B32FF2" w:rsidP="00B32FF2">
      <w:pPr>
        <w:rPr>
          <w:lang w:val="hr-HR"/>
        </w:rPr>
      </w:pPr>
    </w:p>
    <w:p w14:paraId="2DF6CE51" w14:textId="77777777" w:rsidR="00172602" w:rsidRPr="004259D0" w:rsidRDefault="00172602" w:rsidP="00172602">
      <w:pPr>
        <w:jc w:val="both"/>
        <w:rPr>
          <w:lang w:val="hr-HR"/>
        </w:rPr>
      </w:pPr>
      <w:r w:rsidRPr="004259D0">
        <w:rPr>
          <w:lang w:val="hr-HR"/>
        </w:rPr>
        <w:t xml:space="preserve">Tijekom 2018. godine nastavljen je višegodišnji trend smanjenja vanjskih neravnoteža domaćeg gospodarstva. Neto inozemna investicijska pozicija poboljšana je na -54,1% BDP-a u 2018. godini, što je njena najviša razina u posljednjih četrnaest godina. </w:t>
      </w:r>
      <w:r w:rsidRPr="004259D0">
        <w:rPr>
          <w:rFonts w:eastAsia="Times New Roman" w:cs="Times New Roman"/>
          <w:color w:val="000000"/>
          <w:shd w:val="clear" w:color="auto" w:fill="FFFFFF"/>
          <w:lang w:val="hr-HR" w:eastAsia="hr-HR"/>
        </w:rPr>
        <w:t>U 2018. godini, šestu godinu zaredom, zabilježen je pozitivan saldo tekućeg računa bilance plaćanja</w:t>
      </w:r>
      <w:r w:rsidRPr="004259D0">
        <w:rPr>
          <w:lang w:val="hr-HR"/>
        </w:rPr>
        <w:t xml:space="preserve">, u iznosu od 2,6% BDP-a. U usporedbi s godinom ranije, višak tekućeg računa je smanjen za 1,0 postotni bod, čemu je prvenstveno pridonijelo povećanje negativnog salda na računu roba, dok je najznačajniji pozitivan doprinos tekućem računu došao od povećanja pozitivnog salda računa usluga. </w:t>
      </w:r>
    </w:p>
    <w:p w14:paraId="7055BFC8" w14:textId="3DE137B4" w:rsidR="00172602" w:rsidRPr="004259D0" w:rsidRDefault="00172602" w:rsidP="00172602">
      <w:pPr>
        <w:jc w:val="both"/>
        <w:rPr>
          <w:lang w:val="hr-HR"/>
        </w:rPr>
      </w:pPr>
      <w:r w:rsidRPr="004259D0">
        <w:rPr>
          <w:lang w:val="hr-HR"/>
        </w:rPr>
        <w:t>U narednom srednjoročnom razdoblju očekuje se daljnje postupno smanjenje viška na tekućem računu bilance plaćanja. Smanjenje pozitivnog salda tekućeg računa proizlazit će prvenstveno iz kontinuiranog povećanja negativnog salda roba, uslijed snažnijeg rasta uvoza od izvoza roba. Račun usluga bilježit će daljnji rast pozitivnog salda, međutim, kako je već spomenuto, zbog dominantnog utjecaja turizma na izvoz usluga</w:t>
      </w:r>
      <w:r w:rsidRPr="004259D0">
        <w:rPr>
          <w:rStyle w:val="FootnoteReference"/>
          <w:lang w:val="hr-HR"/>
        </w:rPr>
        <w:footnoteReference w:id="21"/>
      </w:r>
      <w:r w:rsidRPr="004259D0">
        <w:rPr>
          <w:lang w:val="hr-HR"/>
        </w:rPr>
        <w:t xml:space="preserve">, po nižim stopama no što je to bio slučaj u ranijim godinama, što će dovesti do kontinuiranog blagog pada udjela salda usluga u BDP-u. Opisana kretanja rezultirat će negativnim </w:t>
      </w:r>
      <w:r w:rsidR="00C5176B" w:rsidRPr="004259D0">
        <w:rPr>
          <w:lang w:val="hr-HR"/>
        </w:rPr>
        <w:t xml:space="preserve">rastućim </w:t>
      </w:r>
      <w:r w:rsidRPr="004259D0">
        <w:rPr>
          <w:lang w:val="hr-HR"/>
        </w:rPr>
        <w:t xml:space="preserve">saldom roba i usluga od 2020. godine pa do kraja projekcijskog razdoblja. Na računu primarnog dohotka očekuje se stabilno i umjereno povećanje manjka pod utjecajem nastavka rasta dobiti domaćih poduzeća u stranom vlasništvu, daljnjeg povećanja prihoda od naknada zaposlenima te stabilizacije kamatnih troškova na temelju inozemnih dužničkih obveza. Navedeno će rezultirati stabilnim udjelom negativnog salda primarnog dohotka u BDP-u kroz čitavo projekcijsko razdoblje, koji će ipak biti znatno premašen pozitivnim saldom sekundarnog dohotka. Naime, u narednom srednjoročnom razdoblju </w:t>
      </w:r>
      <w:r w:rsidR="00C5176B" w:rsidRPr="004259D0">
        <w:rPr>
          <w:lang w:val="hr-HR"/>
        </w:rPr>
        <w:t>predviđa</w:t>
      </w:r>
      <w:r w:rsidRPr="004259D0">
        <w:rPr>
          <w:lang w:val="hr-HR"/>
        </w:rPr>
        <w:t xml:space="preserve"> se znatno intenzivnije korištenje sredstava iz EU fondova no što je to bio slučaj u prethodnim godinama,</w:t>
      </w:r>
      <w:r w:rsidR="00C5176B" w:rsidRPr="004259D0">
        <w:rPr>
          <w:lang w:val="hr-HR"/>
        </w:rPr>
        <w:t xml:space="preserve"> pa se stoga </w:t>
      </w:r>
      <w:r w:rsidRPr="004259D0">
        <w:rPr>
          <w:lang w:val="hr-HR"/>
        </w:rPr>
        <w:t>očekuju više razine pozitivnog salda sekundarnog dohotka i kapitalnih transakcija no ranijih godina.</w:t>
      </w:r>
      <w:r w:rsidRPr="004259D0">
        <w:rPr>
          <w:i/>
          <w:lang w:val="hr-HR"/>
        </w:rPr>
        <w:t xml:space="preserve"> </w:t>
      </w:r>
    </w:p>
    <w:p w14:paraId="24AB4B00" w14:textId="565059FC" w:rsidR="00172602" w:rsidRPr="004259D0" w:rsidRDefault="00172602" w:rsidP="00172602">
      <w:pPr>
        <w:jc w:val="both"/>
        <w:rPr>
          <w:lang w:val="hr-HR"/>
        </w:rPr>
      </w:pPr>
      <w:r w:rsidRPr="004259D0">
        <w:rPr>
          <w:lang w:val="hr-HR"/>
        </w:rPr>
        <w:t xml:space="preserve">Prethodnim Programom očekivao se pozitivan saldo tekućeg i kapitalnog računa od 4,1% BDP-a u 2018. godini (2,9% BDP-a ukoliko </w:t>
      </w:r>
      <w:r w:rsidR="00C5176B" w:rsidRPr="004259D0">
        <w:rPr>
          <w:lang w:val="hr-HR"/>
        </w:rPr>
        <w:t>promatramo</w:t>
      </w:r>
      <w:r w:rsidRPr="004259D0">
        <w:rPr>
          <w:lang w:val="hr-HR"/>
        </w:rPr>
        <w:t xml:space="preserve"> samo tekući račun). Neznatno niže ostvarenje </w:t>
      </w:r>
      <w:r w:rsidR="00C5176B" w:rsidRPr="004259D0">
        <w:rPr>
          <w:lang w:val="hr-HR"/>
        </w:rPr>
        <w:t xml:space="preserve">salda tekućeg i kapitalnog računa </w:t>
      </w:r>
      <w:r w:rsidRPr="004259D0">
        <w:rPr>
          <w:lang w:val="hr-HR"/>
        </w:rPr>
        <w:t xml:space="preserve">(4,0% BDP-a) prvenstveno proizlazi iz nepovoljnijeg ostvarenja na računu roba od očekivanog, dok je, s druge strane, kapitalni račun zabilježio blago povoljniji saldo od projiciranog. </w:t>
      </w:r>
    </w:p>
    <w:p w14:paraId="6FA9FC07" w14:textId="77777777" w:rsidR="00FD5D86" w:rsidRPr="004259D0" w:rsidRDefault="00FD5D86" w:rsidP="00A86162">
      <w:pPr>
        <w:jc w:val="both"/>
        <w:rPr>
          <w:lang w:val="hr-HR"/>
        </w:rPr>
      </w:pPr>
    </w:p>
    <w:p w14:paraId="67368317" w14:textId="77777777" w:rsidR="002C7816" w:rsidRPr="004259D0" w:rsidRDefault="002C7816" w:rsidP="00A86162">
      <w:pPr>
        <w:jc w:val="both"/>
        <w:rPr>
          <w:lang w:val="hr-HR"/>
        </w:rPr>
      </w:pPr>
    </w:p>
    <w:p w14:paraId="314FEE96" w14:textId="77777777" w:rsidR="00A86162" w:rsidRPr="004259D0" w:rsidRDefault="00A86162" w:rsidP="008160DF">
      <w:pPr>
        <w:pStyle w:val="Heading2"/>
        <w:numPr>
          <w:ilvl w:val="1"/>
          <w:numId w:val="1"/>
        </w:numPr>
        <w:rPr>
          <w:lang w:val="hr-HR"/>
        </w:rPr>
      </w:pPr>
      <w:bookmarkStart w:id="19" w:name="_Toc6418614"/>
      <w:r w:rsidRPr="004259D0">
        <w:rPr>
          <w:lang w:val="hr-HR"/>
        </w:rPr>
        <w:t>Monetarna kretanja</w:t>
      </w:r>
      <w:bookmarkEnd w:id="19"/>
    </w:p>
    <w:p w14:paraId="6280B32D" w14:textId="77777777" w:rsidR="007F779C" w:rsidRPr="004259D0" w:rsidRDefault="007F779C" w:rsidP="00B32FF2">
      <w:pPr>
        <w:rPr>
          <w:lang w:val="hr-HR"/>
        </w:rPr>
      </w:pPr>
    </w:p>
    <w:p w14:paraId="0F3B99C5" w14:textId="77777777" w:rsidR="00172602" w:rsidRPr="004259D0" w:rsidRDefault="00172602" w:rsidP="00172602">
      <w:pPr>
        <w:jc w:val="both"/>
        <w:rPr>
          <w:lang w:val="hr-HR"/>
        </w:rPr>
      </w:pPr>
      <w:r w:rsidRPr="004259D0">
        <w:rPr>
          <w:lang w:val="hr-HR"/>
        </w:rPr>
        <w:t>U 2018. godini je zabilježeno jačanje domaće valute četvrtu godinu zaredom pa je prosječan tečaj kune prema euru iznosio 7,41 HRK/EUR, što predstavlja aprecijaciju od 0,6% u odnosu na prethodnu godinu. U 2019. godini se očekuje nastavak blagih aprecijacijskih pritisaka, pa se predviđa prosječni tečaj od 7,39 HRK/EUR u čitavom projekcijskom razdoblju. Tijekom 2018. godine zabilježen je rekordan iznos deviznih intervencija središnje banke, što je rezultiralo znatnim povećanjem prosječnog viška likvidnosti.</w:t>
      </w:r>
      <w:r w:rsidRPr="004259D0">
        <w:rPr>
          <w:rStyle w:val="FootnoteReference"/>
          <w:lang w:val="hr-HR"/>
        </w:rPr>
        <w:footnoteReference w:id="22"/>
      </w:r>
      <w:r w:rsidRPr="004259D0">
        <w:rPr>
          <w:lang w:val="hr-HR"/>
        </w:rPr>
        <w:t xml:space="preserve"> Kratkoročne</w:t>
      </w:r>
      <w:r w:rsidRPr="004259D0">
        <w:rPr>
          <w:color w:val="FF0000"/>
          <w:lang w:val="hr-HR"/>
        </w:rPr>
        <w:t xml:space="preserve"> </w:t>
      </w:r>
      <w:r w:rsidRPr="004259D0">
        <w:rPr>
          <w:lang w:val="hr-HR"/>
        </w:rPr>
        <w:t xml:space="preserve">kamatne stope ostale su na niskim razinama, a nastavak sličnih kretanja očekuje se i u budućem razdoblju. </w:t>
      </w:r>
    </w:p>
    <w:p w14:paraId="7C86D60E" w14:textId="47B6EBE2" w:rsidR="00172602" w:rsidRPr="004259D0" w:rsidRDefault="00172602" w:rsidP="00172602">
      <w:pPr>
        <w:jc w:val="both"/>
        <w:rPr>
          <w:lang w:val="hr-HR"/>
        </w:rPr>
      </w:pPr>
      <w:r w:rsidRPr="004259D0">
        <w:rPr>
          <w:lang w:val="hr-HR"/>
        </w:rPr>
        <w:t>U 2018. godini ubrzan je rast plasmana banaka privatnom sektoru</w:t>
      </w:r>
      <w:r w:rsidRPr="004259D0">
        <w:rPr>
          <w:rStyle w:val="FootnoteReference"/>
          <w:lang w:val="hr-HR"/>
        </w:rPr>
        <w:footnoteReference w:id="23"/>
      </w:r>
      <w:r w:rsidRPr="004259D0">
        <w:rPr>
          <w:lang w:val="hr-HR"/>
        </w:rPr>
        <w:t xml:space="preserve"> na 4,4%, pri čemu je on prvenstveno bio generiran rastom plasmana stanovništvu, uz istodobni rast plasmana poduzećima. Rastu plasmana stanovništva najviše je doprinijelo povećanje gotovinskih nenamjenskih kredita, koji su u 2018. zabilježili dvoznamenkasti rast te činili gotovo 40% ukupnih kredita kućanstvima</w:t>
      </w:r>
      <w:r w:rsidRPr="004259D0">
        <w:rPr>
          <w:rStyle w:val="FootnoteReference"/>
          <w:lang w:val="hr-HR"/>
        </w:rPr>
        <w:footnoteReference w:id="24"/>
      </w:r>
      <w:r w:rsidRPr="004259D0">
        <w:rPr>
          <w:lang w:val="hr-HR"/>
        </w:rPr>
        <w:t xml:space="preserve">. Budući da banke pri odobravanju ove vrste kredita primjenjuju blaže standarde utvrđivanja kreditne sposobnosti nego kod odobravanja stambenih kredita te da znatno rastu krediti bez zaloga i s rokom dospijeća od deset i više godina, nastavak ovakvih trendova bi u slučaju nepovoljnih ekonomskih kretanja mogao dovesti do rasta nenaplativih kredita. Stoga je Hrvatska narodna banka u veljači 2019. izdala </w:t>
      </w:r>
      <w:r w:rsidRPr="004259D0">
        <w:rPr>
          <w:i/>
          <w:lang w:val="hr-HR"/>
        </w:rPr>
        <w:t>Preporuku o postupanju pri odobravanju nestambenih kredita potrošačima</w:t>
      </w:r>
      <w:r w:rsidRPr="004259D0">
        <w:rPr>
          <w:lang w:val="hr-HR"/>
        </w:rPr>
        <w:t xml:space="preserve"> kojom kreditnim institucijama savjetuje da za sve nestambene kredite s izvornim rokom dospijeća jednakim ili većim od 60 mjeseci primjenjuju jednake kriterije utvrđivanja kreditne sposobnosti kao što ih primjenjuju za stambene kredite</w:t>
      </w:r>
      <w:r w:rsidRPr="004259D0">
        <w:rPr>
          <w:rStyle w:val="FootnoteReference"/>
          <w:lang w:val="hr-HR"/>
        </w:rPr>
        <w:footnoteReference w:id="25"/>
      </w:r>
      <w:r w:rsidRPr="004259D0">
        <w:rPr>
          <w:lang w:val="hr-HR"/>
        </w:rPr>
        <w:t xml:space="preserve">, a bankama iznijela zahtjev da u interni postupak procjene adekvatnosti kapitala uključe sve rizike koji mogu proizaći iz gotovinskih nenamjenskih kredita. U narednom srednjoročnom razdoblju očekuje se </w:t>
      </w:r>
      <w:r w:rsidR="00C5176B" w:rsidRPr="004259D0">
        <w:rPr>
          <w:lang w:val="hr-HR"/>
        </w:rPr>
        <w:t>nastavak</w:t>
      </w:r>
      <w:r w:rsidRPr="004259D0">
        <w:rPr>
          <w:lang w:val="hr-HR"/>
        </w:rPr>
        <w:t xml:space="preserve"> rast</w:t>
      </w:r>
      <w:r w:rsidR="00C5176B" w:rsidRPr="004259D0">
        <w:rPr>
          <w:lang w:val="hr-HR"/>
        </w:rPr>
        <w:t>a</w:t>
      </w:r>
      <w:r w:rsidRPr="004259D0">
        <w:rPr>
          <w:lang w:val="hr-HR"/>
        </w:rPr>
        <w:t xml:space="preserve"> kreditne aktivnosti u skladu s daljnjim oporavkom gospodarstva</w:t>
      </w:r>
      <w:r w:rsidR="00C5176B" w:rsidRPr="004259D0">
        <w:rPr>
          <w:lang w:val="hr-HR"/>
        </w:rPr>
        <w:t>,</w:t>
      </w:r>
      <w:r w:rsidRPr="004259D0">
        <w:rPr>
          <w:lang w:val="hr-HR"/>
        </w:rPr>
        <w:t xml:space="preserve"> </w:t>
      </w:r>
      <w:r w:rsidR="00C5176B" w:rsidRPr="004259D0">
        <w:rPr>
          <w:lang w:val="hr-HR"/>
        </w:rPr>
        <w:t>zadržavanjem</w:t>
      </w:r>
      <w:r w:rsidRPr="004259D0">
        <w:rPr>
          <w:lang w:val="hr-HR"/>
        </w:rPr>
        <w:t xml:space="preserve"> povoljnih uvjeta financiranja te rastom potrošačkog i poslovnog optimizma. Pritom se očekuje blago usporavanje rasta plasmana stanovništvu kao posljedica pooštravanja standarda odobravanja potrošačkih kredita, uz istovremeno ubrzanje rasta plasmana poduzećima, pri čemu visoka razina zaduženosti i udjela loših plasmana poduzeća i dalje djeluju kao ograničavajući faktor značajnijeg ubrzanja rasta.</w:t>
      </w:r>
    </w:p>
    <w:p w14:paraId="5BCEDFD4" w14:textId="6553AFD6" w:rsidR="00172602" w:rsidRPr="004259D0" w:rsidRDefault="00172602" w:rsidP="00172602">
      <w:pPr>
        <w:jc w:val="both"/>
        <w:rPr>
          <w:lang w:val="hr-HR"/>
        </w:rPr>
      </w:pPr>
      <w:r w:rsidRPr="004259D0">
        <w:rPr>
          <w:lang w:val="hr-HR"/>
        </w:rPr>
        <w:t>Dobit bankovnog sektora u 2018. zabilježila je značajno poboljšanje u odnosu na prethodnu godinu, što je prvenstveno posljedica znatnog smanjenja troškova ispravaka vrijednosti i rezerviranja u odnosu na 2017. godinu.</w:t>
      </w:r>
      <w:r w:rsidRPr="004259D0">
        <w:rPr>
          <w:rStyle w:val="FootnoteReference"/>
          <w:lang w:val="hr-HR"/>
        </w:rPr>
        <w:footnoteReference w:id="26"/>
      </w:r>
      <w:r w:rsidRPr="004259D0">
        <w:rPr>
          <w:lang w:val="hr-HR"/>
        </w:rPr>
        <w:t xml:space="preserve"> Četvrtu godinu zaredom zabilježeno je smanjenje udjela loših plasmana u ukupnima, iako ponovno nešto sporijom dinamikom u odnosu na prethodnu godinu</w:t>
      </w:r>
      <w:r w:rsidRPr="004259D0">
        <w:rPr>
          <w:rStyle w:val="FootnoteReference"/>
          <w:lang w:val="hr-HR"/>
        </w:rPr>
        <w:footnoteReference w:id="27"/>
      </w:r>
      <w:r w:rsidRPr="004259D0">
        <w:rPr>
          <w:lang w:val="hr-HR"/>
        </w:rPr>
        <w:t xml:space="preserve">. Posljedično, udio loših u ukupnim plasmanima krajem 2018. iznosio je 9,8%, pri čemu najveći udio loših plasmana i dalje bilježe poduzeća, i to prvenstveno u djelatnosti građevinarstva. Na usporavanje smanjenja udjela loših plasmana u ukupnima znatno je utjecao </w:t>
      </w:r>
      <w:r w:rsidR="00C5176B" w:rsidRPr="004259D0">
        <w:rPr>
          <w:lang w:val="hr-HR"/>
        </w:rPr>
        <w:t>niži</w:t>
      </w:r>
      <w:r w:rsidRPr="004259D0">
        <w:rPr>
          <w:lang w:val="hr-HR"/>
        </w:rPr>
        <w:t xml:space="preserve"> iznos prodanih potraživanja u odnosu na prethodnu godinu. Nastavak ovakvih kretanja očekuje se i u narednom razdoblju, s obzirom na suženu osnovicu za prodaju potraživanja, pa bi se tako rast plasmana prema stanjima na kraju srednjoročnog razdoblja mogao približiti stopama rasta plasmana prema transakcijama. Kapitaliziranost bankovnog sustava u 2018. je blago smanjena u odnosu na prethodnu godinu, pa je stopa kapitala banaka iznosila 22,9%, što se ponajviše može pripisati promjenama u ponderiranju izloženosti banaka prema središnjoj državi i s time povezanog rasta izloženosti rizicima.</w:t>
      </w:r>
      <w:r w:rsidRPr="004259D0">
        <w:rPr>
          <w:rStyle w:val="FootnoteReference"/>
          <w:lang w:val="hr-HR"/>
        </w:rPr>
        <w:footnoteReference w:id="28"/>
      </w:r>
    </w:p>
    <w:p w14:paraId="49DDBC13" w14:textId="77777777" w:rsidR="00140DC1" w:rsidRPr="004259D0" w:rsidRDefault="00140DC1" w:rsidP="00A86162">
      <w:pPr>
        <w:jc w:val="both"/>
        <w:rPr>
          <w:lang w:val="hr-HR"/>
        </w:rPr>
      </w:pPr>
    </w:p>
    <w:p w14:paraId="5248B8BD" w14:textId="77777777" w:rsidR="000C418A" w:rsidRPr="004259D0" w:rsidRDefault="000C418A" w:rsidP="00A86162">
      <w:pPr>
        <w:jc w:val="both"/>
        <w:rPr>
          <w:lang w:val="hr-HR"/>
        </w:rPr>
      </w:pPr>
    </w:p>
    <w:p w14:paraId="5A84EF9B" w14:textId="77777777" w:rsidR="00A86162" w:rsidRPr="004259D0" w:rsidRDefault="00A86162" w:rsidP="008160DF">
      <w:pPr>
        <w:pStyle w:val="Heading2"/>
        <w:numPr>
          <w:ilvl w:val="1"/>
          <w:numId w:val="1"/>
        </w:numPr>
        <w:rPr>
          <w:lang w:val="hr-HR"/>
        </w:rPr>
      </w:pPr>
      <w:bookmarkStart w:id="20" w:name="_Toc6418615"/>
      <w:r w:rsidRPr="004259D0">
        <w:rPr>
          <w:lang w:val="hr-HR"/>
        </w:rPr>
        <w:t>Rizici makroekonomskih projekcija</w:t>
      </w:r>
      <w:bookmarkEnd w:id="20"/>
      <w:r w:rsidRPr="004259D0">
        <w:rPr>
          <w:lang w:val="hr-HR"/>
        </w:rPr>
        <w:t xml:space="preserve"> </w:t>
      </w:r>
    </w:p>
    <w:p w14:paraId="38E8EAD2" w14:textId="77777777" w:rsidR="007F779C" w:rsidRPr="004259D0" w:rsidRDefault="007F779C" w:rsidP="00B32FF2">
      <w:pPr>
        <w:rPr>
          <w:lang w:val="hr-HR"/>
        </w:rPr>
      </w:pPr>
    </w:p>
    <w:p w14:paraId="5A54F797" w14:textId="36849C29" w:rsidR="00172602" w:rsidRPr="004259D0" w:rsidRDefault="00172602" w:rsidP="00172602">
      <w:pPr>
        <w:jc w:val="both"/>
        <w:rPr>
          <w:lang w:val="hr-HR"/>
        </w:rPr>
      </w:pPr>
      <w:r w:rsidRPr="004259D0">
        <w:rPr>
          <w:lang w:val="hr-HR"/>
        </w:rPr>
        <w:t>Opisani makroekonomski scenarij izložen je prevladavajuće negativnim rizicima koji prvenstveno proizlaze iz vanjskog okruženja. Pritom se oni primarno odnose na ponovno jačanje trgovinskih napetosti između SAD-a i Kine, kao i proširenje carina na druge proizvode, snažnije usporavanje kineskog gospodarskog rasta od očekivanog, eventualno naglo zaoštravanje financijskih uvjeta koje bi povećalo ranjivost zemalja s visokim razinama duga, naročito u uvjetima i dalje visoke razine neizvjesnosti glede izlaska Ujedinjenog Kraljevstva iz EU-a. Domaći rizici u srednjem roku najvećim dijelom proizlaze iz ograničenja na strani ponude, ponajviše nedostatka radne snage. Glavni rizici koji bi mogli uzrokovati drugačije ostvarenje stope inflacije od prognozirane vezani su uz kretanje cijene nafte na svjetskom tržištu te kretanje administrativno reguliranih cijena, ponajprije cijena električne energije za kućanstva.</w:t>
      </w:r>
    </w:p>
    <w:p w14:paraId="180287CE" w14:textId="77777777" w:rsidR="00AE6FDC" w:rsidRPr="004259D0" w:rsidRDefault="00E1197C" w:rsidP="00B32FF2">
      <w:pPr>
        <w:jc w:val="both"/>
        <w:rPr>
          <w:lang w:val="hr-HR"/>
        </w:rPr>
      </w:pPr>
      <w:r w:rsidRPr="004259D0">
        <w:rPr>
          <w:lang w:val="hr-HR"/>
        </w:rPr>
        <w:t xml:space="preserve"> </w:t>
      </w:r>
      <w:r w:rsidR="00AE6FDC" w:rsidRPr="004259D0">
        <w:rPr>
          <w:lang w:val="hr-HR"/>
        </w:rPr>
        <w:br w:type="page"/>
      </w:r>
    </w:p>
    <w:p w14:paraId="3420A99A" w14:textId="77777777" w:rsidR="00396242" w:rsidRPr="004259D0" w:rsidRDefault="00AE6FDC" w:rsidP="008160DF">
      <w:pPr>
        <w:pStyle w:val="Heading1"/>
        <w:numPr>
          <w:ilvl w:val="0"/>
          <w:numId w:val="1"/>
        </w:numPr>
        <w:rPr>
          <w:sz w:val="32"/>
          <w:lang w:val="hr-HR"/>
        </w:rPr>
      </w:pPr>
      <w:bookmarkStart w:id="21" w:name="_Toc6418616"/>
      <w:r w:rsidRPr="004259D0">
        <w:rPr>
          <w:sz w:val="32"/>
          <w:lang w:val="hr-HR"/>
        </w:rPr>
        <w:t>PRORAČUN OPĆE DRŽAVE I JAVNI DUG</w:t>
      </w:r>
      <w:bookmarkEnd w:id="21"/>
    </w:p>
    <w:p w14:paraId="64174286" w14:textId="77777777" w:rsidR="00D56AF0" w:rsidRPr="004259D0" w:rsidRDefault="00D56AF0" w:rsidP="00D56AF0">
      <w:pPr>
        <w:rPr>
          <w:lang w:val="hr-HR"/>
        </w:rPr>
      </w:pPr>
    </w:p>
    <w:p w14:paraId="6B5FF6C1" w14:textId="77777777" w:rsidR="00AE6FDC" w:rsidRPr="004259D0" w:rsidRDefault="00AE6FDC" w:rsidP="008160DF">
      <w:pPr>
        <w:pStyle w:val="Heading2"/>
        <w:numPr>
          <w:ilvl w:val="1"/>
          <w:numId w:val="1"/>
        </w:numPr>
        <w:rPr>
          <w:lang w:val="hr-HR"/>
        </w:rPr>
      </w:pPr>
      <w:bookmarkStart w:id="22" w:name="_Toc6418617"/>
      <w:r w:rsidRPr="004259D0">
        <w:rPr>
          <w:lang w:val="hr-HR"/>
        </w:rPr>
        <w:t>Fiskalna politika</w:t>
      </w:r>
      <w:bookmarkEnd w:id="22"/>
      <w:r w:rsidRPr="004259D0">
        <w:rPr>
          <w:lang w:val="hr-HR"/>
        </w:rPr>
        <w:t xml:space="preserve"> </w:t>
      </w:r>
    </w:p>
    <w:p w14:paraId="5B8A2F6A" w14:textId="77777777" w:rsidR="00A93484" w:rsidRPr="004259D0" w:rsidRDefault="00A93484" w:rsidP="00A93484">
      <w:pPr>
        <w:rPr>
          <w:lang w:val="hr-HR"/>
        </w:rPr>
      </w:pPr>
    </w:p>
    <w:p w14:paraId="63F61C66" w14:textId="75DFD59F" w:rsidR="00A2337A" w:rsidRPr="004259D0" w:rsidRDefault="00A2337A" w:rsidP="00A2337A">
      <w:pPr>
        <w:jc w:val="both"/>
        <w:rPr>
          <w:lang w:val="hr-HR"/>
        </w:rPr>
      </w:pPr>
      <w:r w:rsidRPr="004259D0">
        <w:rPr>
          <w:lang w:val="hr-HR"/>
        </w:rPr>
        <w:t xml:space="preserve">Na području fiskalne politike, u proteklih nekoliko godina uloženi su značajni napori u svrhu jačanja održivosti javnih financija te je ostvaren niz pozitivnih pokazatelja. Nakon ostvarenog viška u 2017. godini od </w:t>
      </w:r>
      <w:r w:rsidR="00D06808" w:rsidRPr="004259D0">
        <w:rPr>
          <w:lang w:val="hr-HR"/>
        </w:rPr>
        <w:t>0,8</w:t>
      </w:r>
      <w:r w:rsidRPr="004259D0">
        <w:rPr>
          <w:lang w:val="hr-HR"/>
        </w:rPr>
        <w:t>% BDP-a, u 2018. godini je, uslijed provedene porezne reforme s jedne strane te racionalne prora</w:t>
      </w:r>
      <w:r w:rsidR="000E7586" w:rsidRPr="004259D0">
        <w:rPr>
          <w:lang w:val="hr-HR"/>
        </w:rPr>
        <w:t xml:space="preserve">čunske potrošnje s druge strane, </w:t>
      </w:r>
      <w:r w:rsidRPr="004259D0">
        <w:rPr>
          <w:lang w:val="hr-HR"/>
        </w:rPr>
        <w:t xml:space="preserve">ponovno ostvaren višak proračuna opće države u iznosu od </w:t>
      </w:r>
      <w:r w:rsidR="00DB46C3" w:rsidRPr="004259D0">
        <w:rPr>
          <w:lang w:val="hr-HR"/>
        </w:rPr>
        <w:t>758</w:t>
      </w:r>
      <w:r w:rsidR="00AD4ECE" w:rsidRPr="004259D0">
        <w:rPr>
          <w:lang w:val="hr-HR"/>
        </w:rPr>
        <w:t xml:space="preserve"> milijuna kuna</w:t>
      </w:r>
      <w:r w:rsidRPr="004259D0">
        <w:rPr>
          <w:lang w:val="hr-HR"/>
        </w:rPr>
        <w:t xml:space="preserve"> tj. </w:t>
      </w:r>
      <w:r w:rsidR="00AD4ECE" w:rsidRPr="004259D0">
        <w:rPr>
          <w:lang w:val="hr-HR"/>
        </w:rPr>
        <w:t>0,2</w:t>
      </w:r>
      <w:r w:rsidRPr="004259D0">
        <w:rPr>
          <w:lang w:val="hr-HR"/>
        </w:rPr>
        <w:t xml:space="preserve">% BDP-a. </w:t>
      </w:r>
      <w:r w:rsidR="00CB3094" w:rsidRPr="004259D0">
        <w:rPr>
          <w:lang w:val="hr-HR"/>
        </w:rPr>
        <w:t xml:space="preserve">Ovaj višak bio bi još i veći da se nisu materijalizirale jednokratne obveze po osnovi </w:t>
      </w:r>
      <w:r w:rsidR="005552C1" w:rsidRPr="004259D0">
        <w:rPr>
          <w:lang w:val="hr-HR"/>
        </w:rPr>
        <w:t>protestiranih</w:t>
      </w:r>
      <w:r w:rsidR="00CB3094" w:rsidRPr="004259D0">
        <w:rPr>
          <w:lang w:val="hr-HR"/>
        </w:rPr>
        <w:t xml:space="preserve"> jamstava za Uljanik grupu i to u iznosu od 2,5 milijardi kuna</w:t>
      </w:r>
      <w:r w:rsidR="0023135D" w:rsidRPr="004259D0">
        <w:rPr>
          <w:lang w:val="hr-HR"/>
        </w:rPr>
        <w:t>,</w:t>
      </w:r>
      <w:r w:rsidR="00CB3094" w:rsidRPr="004259D0">
        <w:rPr>
          <w:lang w:val="hr-HR"/>
        </w:rPr>
        <w:t xml:space="preserve"> odnosno 0,7% BDP-a. </w:t>
      </w:r>
    </w:p>
    <w:p w14:paraId="128067D7" w14:textId="701CFB49" w:rsidR="00CB3094" w:rsidRPr="004259D0" w:rsidRDefault="00A2337A" w:rsidP="00A2337A">
      <w:pPr>
        <w:jc w:val="both"/>
        <w:rPr>
          <w:lang w:val="hr-HR"/>
        </w:rPr>
      </w:pPr>
      <w:r w:rsidRPr="004259D0">
        <w:rPr>
          <w:lang w:val="hr-HR"/>
        </w:rPr>
        <w:t xml:space="preserve">Nadalje, nastavljeno je i daljnje smanjenje udjela duga opće države u BDP-u koji je krajem 2018. </w:t>
      </w:r>
      <w:r w:rsidR="00CB3094" w:rsidRPr="004259D0">
        <w:rPr>
          <w:lang w:val="hr-HR"/>
        </w:rPr>
        <w:t>iznosio 28</w:t>
      </w:r>
      <w:r w:rsidR="003F0E99" w:rsidRPr="004259D0">
        <w:rPr>
          <w:lang w:val="hr-HR"/>
        </w:rPr>
        <w:t>4</w:t>
      </w:r>
      <w:r w:rsidR="00CB3094" w:rsidRPr="004259D0">
        <w:rPr>
          <w:lang w:val="hr-HR"/>
        </w:rPr>
        <w:t>,</w:t>
      </w:r>
      <w:r w:rsidR="003F0E99" w:rsidRPr="004259D0">
        <w:rPr>
          <w:lang w:val="hr-HR"/>
        </w:rPr>
        <w:t>7</w:t>
      </w:r>
      <w:r w:rsidR="00CB3094" w:rsidRPr="004259D0">
        <w:rPr>
          <w:lang w:val="hr-HR"/>
        </w:rPr>
        <w:t xml:space="preserve"> milijardi kuna, odnosno 74,</w:t>
      </w:r>
      <w:r w:rsidR="003F0E99" w:rsidRPr="004259D0">
        <w:rPr>
          <w:lang w:val="hr-HR"/>
        </w:rPr>
        <w:t>6</w:t>
      </w:r>
      <w:r w:rsidR="00CB3094" w:rsidRPr="004259D0">
        <w:rPr>
          <w:lang w:val="hr-HR"/>
        </w:rPr>
        <w:t xml:space="preserve">% BDP-a. Pritom </w:t>
      </w:r>
      <w:r w:rsidR="003F0E99" w:rsidRPr="004259D0">
        <w:rPr>
          <w:lang w:val="hr-HR"/>
        </w:rPr>
        <w:t>se udio</w:t>
      </w:r>
      <w:r w:rsidR="00CB3094" w:rsidRPr="004259D0">
        <w:rPr>
          <w:lang w:val="hr-HR"/>
        </w:rPr>
        <w:t xml:space="preserve"> javn</w:t>
      </w:r>
      <w:r w:rsidR="003F0E99" w:rsidRPr="004259D0">
        <w:rPr>
          <w:lang w:val="hr-HR"/>
        </w:rPr>
        <w:t>og</w:t>
      </w:r>
      <w:r w:rsidR="00CB3094" w:rsidRPr="004259D0">
        <w:rPr>
          <w:lang w:val="hr-HR"/>
        </w:rPr>
        <w:t xml:space="preserve"> dug</w:t>
      </w:r>
      <w:r w:rsidR="003F0E99" w:rsidRPr="004259D0">
        <w:rPr>
          <w:lang w:val="hr-HR"/>
        </w:rPr>
        <w:t>a</w:t>
      </w:r>
      <w:r w:rsidR="00CB3094" w:rsidRPr="004259D0">
        <w:rPr>
          <w:lang w:val="hr-HR"/>
        </w:rPr>
        <w:t xml:space="preserve">, u odnosu na prethodnu godinu, </w:t>
      </w:r>
      <w:r w:rsidR="003F0E99" w:rsidRPr="004259D0">
        <w:rPr>
          <w:lang w:val="hr-HR"/>
        </w:rPr>
        <w:t>smanjio</w:t>
      </w:r>
      <w:r w:rsidR="00CB3094" w:rsidRPr="004259D0">
        <w:rPr>
          <w:lang w:val="hr-HR"/>
        </w:rPr>
        <w:t xml:space="preserve"> </w:t>
      </w:r>
      <w:r w:rsidR="00847140" w:rsidRPr="004259D0">
        <w:rPr>
          <w:lang w:val="hr-HR"/>
        </w:rPr>
        <w:t>za 3,</w:t>
      </w:r>
      <w:r w:rsidR="003F0E99" w:rsidRPr="004259D0">
        <w:rPr>
          <w:lang w:val="hr-HR"/>
        </w:rPr>
        <w:t>2</w:t>
      </w:r>
      <w:r w:rsidR="00847140" w:rsidRPr="004259D0">
        <w:rPr>
          <w:lang w:val="hr-HR"/>
        </w:rPr>
        <w:t xml:space="preserve"> postotn</w:t>
      </w:r>
      <w:r w:rsidR="003F0E99" w:rsidRPr="004259D0">
        <w:rPr>
          <w:lang w:val="hr-HR"/>
        </w:rPr>
        <w:t>a</w:t>
      </w:r>
      <w:r w:rsidR="00847140" w:rsidRPr="004259D0">
        <w:rPr>
          <w:lang w:val="hr-HR"/>
        </w:rPr>
        <w:t xml:space="preserve"> boda</w:t>
      </w:r>
      <w:r w:rsidR="003F0E99" w:rsidRPr="004259D0">
        <w:rPr>
          <w:lang w:val="hr-HR"/>
        </w:rPr>
        <w:t>,</w:t>
      </w:r>
      <w:r w:rsidR="00847140" w:rsidRPr="004259D0">
        <w:rPr>
          <w:lang w:val="hr-HR"/>
        </w:rPr>
        <w:t xml:space="preserve"> dok je u protekle tri godine smanjen za </w:t>
      </w:r>
      <w:r w:rsidR="003F0E99" w:rsidRPr="004259D0">
        <w:rPr>
          <w:lang w:val="hr-HR"/>
        </w:rPr>
        <w:t>više od 9</w:t>
      </w:r>
      <w:r w:rsidR="00847140" w:rsidRPr="004259D0">
        <w:rPr>
          <w:lang w:val="hr-HR"/>
        </w:rPr>
        <w:t xml:space="preserve"> postotnih bodova.</w:t>
      </w:r>
      <w:r w:rsidR="000C53DD" w:rsidRPr="004259D0">
        <w:rPr>
          <w:lang w:val="hr-HR"/>
        </w:rPr>
        <w:t xml:space="preserve"> Odgovorno vođenje fiskalne politike, praćeno aktivnom politikom upravljanja javnim dugom, rezultiralo je i smanjenjem rashoda za kamate koji su u 2018. godini na međugodišnjoj razini smanjeni za </w:t>
      </w:r>
      <w:r w:rsidR="00E45D90" w:rsidRPr="004259D0">
        <w:rPr>
          <w:lang w:val="hr-HR"/>
        </w:rPr>
        <w:t>900 milijuna</w:t>
      </w:r>
      <w:r w:rsidR="000C53DD" w:rsidRPr="004259D0">
        <w:rPr>
          <w:lang w:val="hr-HR"/>
        </w:rPr>
        <w:t xml:space="preserve"> kuna. Ovime se nastavlja trend smanjenja troškova kamat</w:t>
      </w:r>
      <w:r w:rsidR="00E45D90" w:rsidRPr="004259D0">
        <w:rPr>
          <w:lang w:val="hr-HR"/>
        </w:rPr>
        <w:t>a opće države</w:t>
      </w:r>
      <w:r w:rsidR="000C53DD" w:rsidRPr="004259D0">
        <w:rPr>
          <w:lang w:val="hr-HR"/>
        </w:rPr>
        <w:t xml:space="preserve"> koji su od 2015. smanjeni za gotovo 3 milijarde kuna.</w:t>
      </w:r>
      <w:r w:rsidR="00F34E3C" w:rsidRPr="004259D0">
        <w:rPr>
          <w:lang w:val="hr-HR"/>
        </w:rPr>
        <w:t xml:space="preserve"> Sve navedeno rezultiralo je primarnim fiskalnim viškom od prosječnih 2,</w:t>
      </w:r>
      <w:r w:rsidR="00DB46C3" w:rsidRPr="004259D0">
        <w:rPr>
          <w:lang w:val="hr-HR"/>
        </w:rPr>
        <w:t>7</w:t>
      </w:r>
      <w:r w:rsidR="00F34E3C" w:rsidRPr="004259D0">
        <w:rPr>
          <w:lang w:val="hr-HR"/>
        </w:rPr>
        <w:t>% BDP-a u posljednje tri godine.</w:t>
      </w:r>
    </w:p>
    <w:p w14:paraId="143E7953" w14:textId="3225F734" w:rsidR="00BB6C70" w:rsidRPr="004259D0" w:rsidRDefault="00BB6C70" w:rsidP="00BB6C70">
      <w:pPr>
        <w:jc w:val="both"/>
        <w:rPr>
          <w:lang w:val="hr-HR"/>
        </w:rPr>
      </w:pPr>
      <w:r w:rsidRPr="004259D0">
        <w:rPr>
          <w:lang w:val="hr-HR"/>
        </w:rPr>
        <w:t xml:space="preserve">Smanjuju se i makroekonomske neravnoteže, što je potvrdila i </w:t>
      </w:r>
      <w:r w:rsidR="00AD4ECE" w:rsidRPr="004259D0">
        <w:rPr>
          <w:lang w:val="hr-HR"/>
        </w:rPr>
        <w:t>EK</w:t>
      </w:r>
      <w:r w:rsidRPr="004259D0">
        <w:rPr>
          <w:lang w:val="hr-HR"/>
        </w:rPr>
        <w:t xml:space="preserve"> te je sukladno njihovom izvješću iz veljače 2019. </w:t>
      </w:r>
      <w:r w:rsidR="00B22065" w:rsidRPr="004259D0">
        <w:rPr>
          <w:lang w:val="hr-HR"/>
        </w:rPr>
        <w:t>godine RH</w:t>
      </w:r>
      <w:r w:rsidRPr="004259D0">
        <w:rPr>
          <w:lang w:val="hr-HR"/>
        </w:rPr>
        <w:t xml:space="preserve"> napredovala iz kategorije prekomjernih makroekonomskih neravnoteža u kategoriju makroekonomskih neravnoteža.</w:t>
      </w:r>
    </w:p>
    <w:p w14:paraId="3BC10FCA" w14:textId="307D0432" w:rsidR="00BB6C70" w:rsidRPr="004259D0" w:rsidRDefault="00BB6C70" w:rsidP="00BB6C70">
      <w:pPr>
        <w:jc w:val="both"/>
        <w:rPr>
          <w:lang w:val="hr-HR"/>
        </w:rPr>
      </w:pPr>
      <w:r w:rsidRPr="004259D0">
        <w:rPr>
          <w:lang w:val="hr-HR"/>
        </w:rPr>
        <w:t xml:space="preserve">Pozitivne gospodarske, a posebice fiskalne rezultate prepoznale su i međunarodne financijske institucije. Tako je krajem ožujka 2019. </w:t>
      </w:r>
      <w:r w:rsidR="00B22065" w:rsidRPr="004259D0">
        <w:rPr>
          <w:lang w:val="hr-HR"/>
        </w:rPr>
        <w:t xml:space="preserve">godine </w:t>
      </w:r>
      <w:r w:rsidRPr="004259D0">
        <w:rPr>
          <w:lang w:val="hr-HR"/>
        </w:rPr>
        <w:t xml:space="preserve">rejting agencija S&amp;P podigla kreditni rejting </w:t>
      </w:r>
      <w:r w:rsidR="00B22065" w:rsidRPr="004259D0">
        <w:rPr>
          <w:lang w:val="hr-HR"/>
        </w:rPr>
        <w:t>RH</w:t>
      </w:r>
      <w:r w:rsidRPr="004259D0">
        <w:rPr>
          <w:lang w:val="hr-HR"/>
        </w:rPr>
        <w:t xml:space="preserve"> na razinu investicijskog s BB+/B na BBB-/A-3. Ovakva procjena prvenstveno se temelji na poboljšanoj fi</w:t>
      </w:r>
      <w:r w:rsidR="00810F4C" w:rsidRPr="004259D0">
        <w:rPr>
          <w:lang w:val="hr-HR"/>
        </w:rPr>
        <w:t>skalnoj poziciji kojoj doprinose</w:t>
      </w:r>
      <w:r w:rsidRPr="004259D0">
        <w:rPr>
          <w:lang w:val="hr-HR"/>
        </w:rPr>
        <w:t xml:space="preserve"> ekonomski oporavak zbog pojačane domaće potražnje potaknute učincima porezne reforme te mjere fiskalne konsolidacije. </w:t>
      </w:r>
    </w:p>
    <w:p w14:paraId="7887796B" w14:textId="47669920" w:rsidR="00BB6C70" w:rsidRPr="004259D0" w:rsidRDefault="00BB6C70" w:rsidP="00BB6C70">
      <w:pPr>
        <w:jc w:val="both"/>
        <w:rPr>
          <w:lang w:val="hr-HR"/>
        </w:rPr>
      </w:pPr>
      <w:r w:rsidRPr="004259D0">
        <w:rPr>
          <w:lang w:val="hr-HR"/>
        </w:rPr>
        <w:t>Usprkos ovakvim pozitivnim pokazateljima, gospodarstvo zemlje i</w:t>
      </w:r>
      <w:r w:rsidR="003D2140" w:rsidRPr="004259D0">
        <w:rPr>
          <w:lang w:val="hr-HR"/>
        </w:rPr>
        <w:t xml:space="preserve"> dalje karakteriziraju izazovi </w:t>
      </w:r>
      <w:r w:rsidRPr="004259D0">
        <w:rPr>
          <w:lang w:val="hr-HR"/>
        </w:rPr>
        <w:t>vezano uz nizak potencijalni rast, visoku nominalnu razinu javnog duga te prisutne makroekonomske neravnoteže. Treba istaknuti i važne ekonomsko-političke ciljeve pred Vladom RH, posebice u kontekstu ekonomskog dijaloga s EU. Primjerice, nakon izlaska iz procedure prekomjernog proračunskog manjka u lipnju 2017.</w:t>
      </w:r>
      <w:r w:rsidR="003D2140" w:rsidRPr="004259D0">
        <w:rPr>
          <w:lang w:val="hr-HR"/>
        </w:rPr>
        <w:t xml:space="preserve"> godine</w:t>
      </w:r>
      <w:r w:rsidRPr="004259D0">
        <w:rPr>
          <w:lang w:val="hr-HR"/>
        </w:rPr>
        <w:t xml:space="preserve">, RH je obvezna pridržavati se fiskalnih pravila iz preventivnog dijela Pakta o stabilnosti </w:t>
      </w:r>
      <w:r w:rsidR="003D2140" w:rsidRPr="004259D0">
        <w:rPr>
          <w:lang w:val="hr-HR"/>
        </w:rPr>
        <w:t xml:space="preserve">i </w:t>
      </w:r>
      <w:r w:rsidRPr="004259D0">
        <w:rPr>
          <w:lang w:val="hr-HR"/>
        </w:rPr>
        <w:t>rastu. K tome, obzirom na planove vezano uz pristupanje tečajnom mehanizmu ERM</w:t>
      </w:r>
      <w:r w:rsidR="00C16498" w:rsidRPr="004259D0">
        <w:rPr>
          <w:lang w:val="hr-HR"/>
        </w:rPr>
        <w:t xml:space="preserve"> II</w:t>
      </w:r>
      <w:r w:rsidRPr="004259D0">
        <w:rPr>
          <w:lang w:val="hr-HR"/>
        </w:rPr>
        <w:t xml:space="preserve">, RH se obvezuje i na ambiciozniji srednjoročni proračunski cilj od -1% BDP-a, koji je u skladu s restriktivnijim uvjetima koje moraju poštivati države članice spomenutog tečajnog mehanizma.  </w:t>
      </w:r>
    </w:p>
    <w:p w14:paraId="0049F131" w14:textId="2B415C16" w:rsidR="00BB6C70" w:rsidRPr="004259D0" w:rsidRDefault="00BB6C70" w:rsidP="00BB6C70">
      <w:pPr>
        <w:jc w:val="both"/>
        <w:rPr>
          <w:lang w:val="hr-HR"/>
        </w:rPr>
      </w:pPr>
      <w:r w:rsidRPr="004259D0">
        <w:rPr>
          <w:lang w:val="hr-HR"/>
        </w:rPr>
        <w:t>Sve navedeno iziskuje odlučne mjere u svrhu rješavanja prisutnih neravnoteža te ostvarivanj</w:t>
      </w:r>
      <w:r w:rsidR="0066543E" w:rsidRPr="004259D0">
        <w:rPr>
          <w:lang w:val="hr-HR"/>
        </w:rPr>
        <w:t xml:space="preserve">a </w:t>
      </w:r>
      <w:r w:rsidRPr="004259D0">
        <w:rPr>
          <w:lang w:val="hr-HR"/>
        </w:rPr>
        <w:t xml:space="preserve">definiranih ciljeva. Tako će fiskalnu politiku RH u promatranom srednjoročnom razdoblju karakterizirati napori u cilju jačanja fiskalne održivosti i ekonomskog rasta uz adekvatnu skrb za standard svih građana. Posebna pozornost posvetit će se alokaciji proračunskih sredstava za provedbu strukturnih reformi, provest će se aktivnosti u svrhu definiranja potencijala za učinkovitije korištenje proračunskih sredstava te će se nastaviti sa strogom kontrolom rashodne strane proračuna. K tome, sav višak prihoda u odnosu na planirane bit će iskorišten za daljnje smanjenje javnog duga. </w:t>
      </w:r>
    </w:p>
    <w:p w14:paraId="2FB686E5" w14:textId="1DF84743" w:rsidR="00BB6C70" w:rsidRPr="004259D0" w:rsidRDefault="00BB6C70" w:rsidP="00BB6C70">
      <w:pPr>
        <w:jc w:val="both"/>
        <w:rPr>
          <w:lang w:val="hr-HR"/>
        </w:rPr>
      </w:pPr>
      <w:r w:rsidRPr="004259D0">
        <w:rPr>
          <w:lang w:val="hr-HR"/>
        </w:rPr>
        <w:t xml:space="preserve">Prihodnu stranu proračuna obilježit će učinci trećeg kruga poreznog rasterećenja, odnosno nastavak provedbe porezne reforme započete 2017. godine. Primjerice, promjene u odredbama vezano uz porez na dodanu vrijednost umanjuju regresivni učinak ovog poreza na najosjetljivije skupine građana, </w:t>
      </w:r>
      <w:r w:rsidR="00767A62" w:rsidRPr="004259D0">
        <w:rPr>
          <w:lang w:val="hr-HR"/>
        </w:rPr>
        <w:t xml:space="preserve">čime se ujedno </w:t>
      </w:r>
      <w:r w:rsidRPr="004259D0">
        <w:rPr>
          <w:lang w:val="hr-HR"/>
        </w:rPr>
        <w:t>povećava i r</w:t>
      </w:r>
      <w:r w:rsidR="00767A62" w:rsidRPr="004259D0">
        <w:rPr>
          <w:lang w:val="hr-HR"/>
        </w:rPr>
        <w:t xml:space="preserve">aspoloživi dohodak kućanstava. </w:t>
      </w:r>
      <w:r w:rsidRPr="004259D0">
        <w:rPr>
          <w:lang w:val="hr-HR"/>
        </w:rPr>
        <w:t xml:space="preserve">U dijelu oporezivanja rada, izmjenama u sustavu doprinosa na plaće smanjuje se ukupan trošak rada za poslodavce, a izmjene u sustavu poreza na dohodak pozitivno će utjecati na smanjenje negativnih demografskih trendova odnosno zadržavanje visokokvalificiranih zaposlenika poput IT stručnjaka, liječnika, inženjera i drugih. Važno je istaknuti i povlačenje sredstava iz EU fondova koja se planiraju iskoristiti za niz značajnih razvojnih i infrastrukturnih projekata te aktivnosti istraživanja i inovacija, a u svrhu jačanja razvojnog potencijala cjelokupne zemlje. </w:t>
      </w:r>
    </w:p>
    <w:p w14:paraId="0861CB79" w14:textId="380AAD45" w:rsidR="00BB6C70" w:rsidRPr="004259D0" w:rsidRDefault="00BB6C70" w:rsidP="00BB6C70">
      <w:pPr>
        <w:jc w:val="both"/>
        <w:rPr>
          <w:lang w:val="hr-HR"/>
        </w:rPr>
      </w:pPr>
      <w:r w:rsidRPr="004259D0">
        <w:rPr>
          <w:lang w:val="hr-HR"/>
        </w:rPr>
        <w:t xml:space="preserve">Rashodna strana proračuna određena je daljnjim </w:t>
      </w:r>
      <w:r w:rsidR="007E6EA2" w:rsidRPr="004259D0">
        <w:rPr>
          <w:lang w:val="hr-HR"/>
        </w:rPr>
        <w:t>jačanjem</w:t>
      </w:r>
      <w:r w:rsidRPr="004259D0">
        <w:rPr>
          <w:lang w:val="hr-HR"/>
        </w:rPr>
        <w:t xml:space="preserve"> fiskalne održivosti uz provođenje aktivnosti u svrhu </w:t>
      </w:r>
      <w:r w:rsidR="007E6EA2" w:rsidRPr="004259D0">
        <w:rPr>
          <w:lang w:val="hr-HR"/>
        </w:rPr>
        <w:t>podizanja</w:t>
      </w:r>
      <w:r w:rsidRPr="004259D0">
        <w:rPr>
          <w:lang w:val="hr-HR"/>
        </w:rPr>
        <w:t xml:space="preserve"> konkurentnosti</w:t>
      </w:r>
      <w:r w:rsidR="007E6EA2" w:rsidRPr="004259D0">
        <w:rPr>
          <w:lang w:val="hr-HR"/>
        </w:rPr>
        <w:t xml:space="preserve"> gospodarstva,</w:t>
      </w:r>
      <w:r w:rsidRPr="004259D0">
        <w:rPr>
          <w:lang w:val="hr-HR"/>
        </w:rPr>
        <w:t xml:space="preserve"> ali i primjerene skrb</w:t>
      </w:r>
      <w:r w:rsidR="007E6EA2" w:rsidRPr="004259D0">
        <w:rPr>
          <w:lang w:val="hr-HR"/>
        </w:rPr>
        <w:t xml:space="preserve">i za sve slojeve stanovništva. </w:t>
      </w:r>
      <w:r w:rsidRPr="004259D0">
        <w:rPr>
          <w:lang w:val="hr-HR"/>
        </w:rPr>
        <w:t xml:space="preserve">Tako će se provoditi mjere </w:t>
      </w:r>
      <w:r w:rsidR="007E6EA2" w:rsidRPr="004259D0">
        <w:rPr>
          <w:lang w:val="hr-HR"/>
        </w:rPr>
        <w:t>usmjerene ka</w:t>
      </w:r>
      <w:r w:rsidRPr="004259D0">
        <w:rPr>
          <w:lang w:val="hr-HR"/>
        </w:rPr>
        <w:t xml:space="preserve"> unapređenj</w:t>
      </w:r>
      <w:r w:rsidR="007E6EA2" w:rsidRPr="004259D0">
        <w:rPr>
          <w:lang w:val="hr-HR"/>
        </w:rPr>
        <w:t>u</w:t>
      </w:r>
      <w:r w:rsidRPr="004259D0">
        <w:rPr>
          <w:lang w:val="hr-HR"/>
        </w:rPr>
        <w:t xml:space="preserve"> poslovnog okruženja, poboljšanj</w:t>
      </w:r>
      <w:r w:rsidR="008117A6" w:rsidRPr="004259D0">
        <w:rPr>
          <w:lang w:val="hr-HR"/>
        </w:rPr>
        <w:t>u</w:t>
      </w:r>
      <w:r w:rsidRPr="004259D0">
        <w:rPr>
          <w:lang w:val="hr-HR"/>
        </w:rPr>
        <w:t xml:space="preserve"> učinkovitosti pravosudnog sustava te javne uprave i aktivacije državne imovine, a što predstavlja temelj i dodatni impuls za planirani rast investicija. U svrhu jačanja potencijalnog rasta provodit će se i mjere za poboljšanje znanja i vještina sadašnje i buduće radne snage te njihovog usklađivanja s potrebama tržišta rada. Vodeći računa o fiskalnoj stabilnosti</w:t>
      </w:r>
      <w:r w:rsidR="008117A6" w:rsidRPr="004259D0">
        <w:rPr>
          <w:lang w:val="hr-HR"/>
        </w:rPr>
        <w:t>,</w:t>
      </w:r>
      <w:r w:rsidRPr="004259D0">
        <w:rPr>
          <w:lang w:val="hr-HR"/>
        </w:rPr>
        <w:t xml:space="preserve"> ali i osiguranju adekvatnog životnog standarda za građane RH</w:t>
      </w:r>
      <w:r w:rsidR="008117A6" w:rsidRPr="004259D0">
        <w:rPr>
          <w:lang w:val="hr-HR"/>
        </w:rPr>
        <w:t>,</w:t>
      </w:r>
      <w:r w:rsidRPr="004259D0">
        <w:rPr>
          <w:lang w:val="hr-HR"/>
        </w:rPr>
        <w:t xml:space="preserve"> provodit će se reforme s ciljem jačanja učinkovitosti sustava zdravstva i socijalne skrbi. U ovom konte</w:t>
      </w:r>
      <w:r w:rsidR="008117A6" w:rsidRPr="004259D0">
        <w:rPr>
          <w:lang w:val="hr-HR"/>
        </w:rPr>
        <w:t xml:space="preserve">kstu posebna pozornost posvetit će se i </w:t>
      </w:r>
      <w:r w:rsidRPr="004259D0">
        <w:rPr>
          <w:lang w:val="hr-HR"/>
        </w:rPr>
        <w:t xml:space="preserve">mjerama demografske obnove. Valja istaknuti </w:t>
      </w:r>
      <w:r w:rsidR="008117A6" w:rsidRPr="004259D0">
        <w:rPr>
          <w:lang w:val="hr-HR"/>
        </w:rPr>
        <w:t xml:space="preserve">i </w:t>
      </w:r>
      <w:r w:rsidRPr="004259D0">
        <w:rPr>
          <w:lang w:val="hr-HR"/>
        </w:rPr>
        <w:t xml:space="preserve">kako će u 2020. </w:t>
      </w:r>
      <w:r w:rsidR="008117A6" w:rsidRPr="004259D0">
        <w:rPr>
          <w:lang w:val="hr-HR"/>
        </w:rPr>
        <w:t xml:space="preserve">godini </w:t>
      </w:r>
      <w:r w:rsidRPr="004259D0">
        <w:rPr>
          <w:lang w:val="hr-HR"/>
        </w:rPr>
        <w:t xml:space="preserve">RH po prvi puta predsjedati Vijećem </w:t>
      </w:r>
      <w:r w:rsidR="008117A6" w:rsidRPr="004259D0">
        <w:rPr>
          <w:lang w:val="hr-HR"/>
        </w:rPr>
        <w:t>EU</w:t>
      </w:r>
      <w:r w:rsidRPr="004259D0">
        <w:rPr>
          <w:lang w:val="hr-HR"/>
        </w:rPr>
        <w:t>, što predstavlja izuzetno značajnu priliku za političku afirmaciju RH</w:t>
      </w:r>
      <w:r w:rsidR="008117A6" w:rsidRPr="004259D0">
        <w:rPr>
          <w:lang w:val="hr-HR"/>
        </w:rPr>
        <w:t>,</w:t>
      </w:r>
      <w:r w:rsidRPr="004259D0">
        <w:rPr>
          <w:lang w:val="hr-HR"/>
        </w:rPr>
        <w:t xml:space="preserve"> ali i njenu još snažniju integraciju u sustav donošenja odluka i provođenja politika na razini EU. U tom smislu osiguravaju se dodatna sredstva u proračunu upravo za ovu namjenu.</w:t>
      </w:r>
    </w:p>
    <w:p w14:paraId="2AC79F60" w14:textId="15F5FBC2" w:rsidR="00BB6C70" w:rsidRPr="004259D0" w:rsidRDefault="00BB6C70" w:rsidP="00BB6C70">
      <w:pPr>
        <w:jc w:val="both"/>
        <w:rPr>
          <w:lang w:val="hr-HR"/>
        </w:rPr>
      </w:pPr>
      <w:r w:rsidRPr="004259D0">
        <w:rPr>
          <w:lang w:val="hr-HR"/>
        </w:rPr>
        <w:t xml:space="preserve">Gore opisani smjer fiskalnih kretanja na prihodnoj i na rashodnoj strani proračuna rezultirat će blagim manjkom općeg proračuna prema </w:t>
      </w:r>
      <w:r w:rsidR="00D06808" w:rsidRPr="004259D0">
        <w:rPr>
          <w:lang w:val="hr-HR"/>
        </w:rPr>
        <w:t xml:space="preserve">metodologiji </w:t>
      </w:r>
      <w:r w:rsidRPr="004259D0">
        <w:rPr>
          <w:lang w:val="hr-HR"/>
        </w:rPr>
        <w:t xml:space="preserve">ESA 2010 u iznosu od </w:t>
      </w:r>
      <w:r w:rsidR="001709A4" w:rsidRPr="004259D0">
        <w:rPr>
          <w:lang w:val="hr-HR"/>
        </w:rPr>
        <w:t>0,3% BDP-a</w:t>
      </w:r>
      <w:r w:rsidRPr="004259D0">
        <w:rPr>
          <w:lang w:val="hr-HR"/>
        </w:rPr>
        <w:t xml:space="preserve"> u 2019. godini. U 20</w:t>
      </w:r>
      <w:r w:rsidR="001709A4" w:rsidRPr="004259D0">
        <w:rPr>
          <w:lang w:val="hr-HR"/>
        </w:rPr>
        <w:t>20</w:t>
      </w:r>
      <w:r w:rsidRPr="004259D0">
        <w:rPr>
          <w:lang w:val="hr-HR"/>
        </w:rPr>
        <w:t xml:space="preserve">. ponovno se predviđa višak od </w:t>
      </w:r>
      <w:r w:rsidR="001709A4" w:rsidRPr="004259D0">
        <w:rPr>
          <w:lang w:val="hr-HR"/>
        </w:rPr>
        <w:t>0,2% BDP-a</w:t>
      </w:r>
      <w:r w:rsidRPr="004259D0">
        <w:rPr>
          <w:lang w:val="hr-HR"/>
        </w:rPr>
        <w:t>, dok će fiskalni saldo u 202</w:t>
      </w:r>
      <w:r w:rsidR="001709A4" w:rsidRPr="004259D0">
        <w:rPr>
          <w:lang w:val="hr-HR"/>
        </w:rPr>
        <w:t>1</w:t>
      </w:r>
      <w:r w:rsidRPr="004259D0">
        <w:rPr>
          <w:lang w:val="hr-HR"/>
        </w:rPr>
        <w:t xml:space="preserve">. </w:t>
      </w:r>
      <w:r w:rsidR="001709A4" w:rsidRPr="004259D0">
        <w:rPr>
          <w:lang w:val="hr-HR"/>
        </w:rPr>
        <w:t>i</w:t>
      </w:r>
      <w:r w:rsidRPr="004259D0">
        <w:rPr>
          <w:lang w:val="hr-HR"/>
        </w:rPr>
        <w:t xml:space="preserve"> 202</w:t>
      </w:r>
      <w:r w:rsidR="001709A4" w:rsidRPr="004259D0">
        <w:rPr>
          <w:lang w:val="hr-HR"/>
        </w:rPr>
        <w:t>2</w:t>
      </w:r>
      <w:r w:rsidRPr="004259D0">
        <w:rPr>
          <w:lang w:val="hr-HR"/>
        </w:rPr>
        <w:t xml:space="preserve">. iznositi </w:t>
      </w:r>
      <w:r w:rsidR="001709A4" w:rsidRPr="004259D0">
        <w:rPr>
          <w:lang w:val="hr-HR"/>
        </w:rPr>
        <w:t>0,4% BDP-a</w:t>
      </w:r>
      <w:r w:rsidR="00E97FC8" w:rsidRPr="004259D0">
        <w:rPr>
          <w:lang w:val="hr-HR"/>
        </w:rPr>
        <w:t>,</w:t>
      </w:r>
      <w:r w:rsidR="001709A4" w:rsidRPr="004259D0">
        <w:rPr>
          <w:lang w:val="hr-HR"/>
        </w:rPr>
        <w:t xml:space="preserve"> </w:t>
      </w:r>
      <w:r w:rsidRPr="004259D0">
        <w:rPr>
          <w:lang w:val="hr-HR"/>
        </w:rPr>
        <w:t xml:space="preserve">odnosno </w:t>
      </w:r>
      <w:r w:rsidR="001709A4" w:rsidRPr="004259D0">
        <w:rPr>
          <w:lang w:val="hr-HR"/>
        </w:rPr>
        <w:t>0,8% BDP-a</w:t>
      </w:r>
      <w:r w:rsidRPr="004259D0">
        <w:rPr>
          <w:lang w:val="hr-HR"/>
        </w:rPr>
        <w:t>. Planira se i daljnje smanjenje udjela javnog duga u BDP-</w:t>
      </w:r>
      <w:r w:rsidR="00D62EA7" w:rsidRPr="004259D0">
        <w:rPr>
          <w:lang w:val="hr-HR"/>
        </w:rPr>
        <w:t>u</w:t>
      </w:r>
      <w:r w:rsidRPr="004259D0">
        <w:rPr>
          <w:lang w:val="hr-HR"/>
        </w:rPr>
        <w:t xml:space="preserve"> i to za </w:t>
      </w:r>
      <w:r w:rsidR="00D62EA7" w:rsidRPr="004259D0">
        <w:rPr>
          <w:lang w:val="hr-HR"/>
        </w:rPr>
        <w:t xml:space="preserve">dodatnih </w:t>
      </w:r>
      <w:r w:rsidRPr="004259D0">
        <w:rPr>
          <w:lang w:val="hr-HR"/>
        </w:rPr>
        <w:t>1</w:t>
      </w:r>
      <w:r w:rsidR="00D62EA7" w:rsidRPr="004259D0">
        <w:rPr>
          <w:lang w:val="hr-HR"/>
        </w:rPr>
        <w:t>2</w:t>
      </w:r>
      <w:r w:rsidR="003F0E99" w:rsidRPr="004259D0">
        <w:rPr>
          <w:lang w:val="hr-HR"/>
        </w:rPr>
        <w:t>,5</w:t>
      </w:r>
      <w:r w:rsidRPr="004259D0">
        <w:rPr>
          <w:lang w:val="hr-HR"/>
        </w:rPr>
        <w:t xml:space="preserve"> postotnih bodova</w:t>
      </w:r>
      <w:r w:rsidR="00D62EA7" w:rsidRPr="004259D0">
        <w:rPr>
          <w:lang w:val="hr-HR"/>
        </w:rPr>
        <w:t xml:space="preserve"> do 2022. godine</w:t>
      </w:r>
      <w:r w:rsidRPr="004259D0">
        <w:rPr>
          <w:lang w:val="hr-HR"/>
        </w:rPr>
        <w:t>. K tome, fiskalne projekcije predstavljene u ovom dokumentu ukazuju da RH ispunjava i novi, stroži srednjoročni proračunski cilj od -1%</w:t>
      </w:r>
      <w:r w:rsidR="00D62EA7" w:rsidRPr="004259D0">
        <w:rPr>
          <w:lang w:val="hr-HR"/>
        </w:rPr>
        <w:t xml:space="preserve"> </w:t>
      </w:r>
      <w:r w:rsidRPr="004259D0">
        <w:rPr>
          <w:lang w:val="hr-HR"/>
        </w:rPr>
        <w:t>BDP-a u čitavom projekcijskom razdoblju.</w:t>
      </w:r>
    </w:p>
    <w:p w14:paraId="16AE7E64" w14:textId="664CC5CF" w:rsidR="00E0472E" w:rsidRPr="004259D0" w:rsidRDefault="00E0472E" w:rsidP="007377DB">
      <w:pPr>
        <w:jc w:val="both"/>
        <w:rPr>
          <w:lang w:val="hr-HR"/>
        </w:rPr>
      </w:pPr>
    </w:p>
    <w:p w14:paraId="3AF1433C" w14:textId="77777777" w:rsidR="00CD0F95" w:rsidRPr="004259D0" w:rsidRDefault="00CD0F95" w:rsidP="007377DB">
      <w:pPr>
        <w:jc w:val="both"/>
        <w:rPr>
          <w:lang w:val="hr-HR"/>
        </w:rPr>
      </w:pPr>
    </w:p>
    <w:p w14:paraId="54AD2711" w14:textId="77777777" w:rsidR="00CD0F95" w:rsidRPr="004259D0" w:rsidRDefault="00CD0F95" w:rsidP="007377DB">
      <w:pPr>
        <w:jc w:val="both"/>
        <w:rPr>
          <w:lang w:val="hr-HR"/>
        </w:rPr>
      </w:pPr>
    </w:p>
    <w:p w14:paraId="4FD8C5D7" w14:textId="77777777" w:rsidR="003F0E99" w:rsidRPr="004259D0" w:rsidRDefault="003F0E99" w:rsidP="007377DB">
      <w:pPr>
        <w:jc w:val="both"/>
        <w:rPr>
          <w:lang w:val="hr-HR"/>
        </w:rPr>
      </w:pPr>
    </w:p>
    <w:p w14:paraId="3F338C5C" w14:textId="77777777" w:rsidR="00AE6FDC" w:rsidRPr="004259D0" w:rsidRDefault="00AE6FDC" w:rsidP="008160DF">
      <w:pPr>
        <w:pStyle w:val="Heading2"/>
        <w:numPr>
          <w:ilvl w:val="1"/>
          <w:numId w:val="1"/>
        </w:numPr>
        <w:rPr>
          <w:lang w:val="hr-HR"/>
        </w:rPr>
      </w:pPr>
      <w:bookmarkStart w:id="23" w:name="_Toc6418618"/>
      <w:r w:rsidRPr="004259D0">
        <w:rPr>
          <w:lang w:val="hr-HR"/>
        </w:rPr>
        <w:t>Izvršavanje proračuna u 201</w:t>
      </w:r>
      <w:r w:rsidR="00D12C95" w:rsidRPr="004259D0">
        <w:rPr>
          <w:lang w:val="hr-HR"/>
        </w:rPr>
        <w:t>8</w:t>
      </w:r>
      <w:r w:rsidRPr="004259D0">
        <w:rPr>
          <w:lang w:val="hr-HR"/>
        </w:rPr>
        <w:t>. godini</w:t>
      </w:r>
      <w:bookmarkEnd w:id="23"/>
    </w:p>
    <w:p w14:paraId="379C6A95" w14:textId="77777777" w:rsidR="006B49B2" w:rsidRPr="004259D0" w:rsidRDefault="006B49B2" w:rsidP="003E2403">
      <w:pPr>
        <w:rPr>
          <w:lang w:val="hr-HR"/>
        </w:rPr>
      </w:pPr>
    </w:p>
    <w:p w14:paraId="06B1A2B6" w14:textId="5342EB35" w:rsidR="00CF09B0" w:rsidRPr="004259D0" w:rsidRDefault="00CF09B0" w:rsidP="00CF09B0">
      <w:pPr>
        <w:jc w:val="both"/>
        <w:rPr>
          <w:rFonts w:eastAsiaTheme="minorEastAsia"/>
          <w:lang w:val="hr-HR" w:eastAsia="hr-HR"/>
        </w:rPr>
      </w:pPr>
      <w:r w:rsidRPr="004259D0">
        <w:rPr>
          <w:rFonts w:eastAsiaTheme="minorEastAsia"/>
          <w:lang w:val="hr-HR" w:eastAsia="hr-HR"/>
        </w:rPr>
        <w:t>Nakon pozitivnih kretanja u 2016. i 2017., istim smjerom nastavljeno je i u 2018. godini kao rezultat povoljnih makroekonomskih kretanja, provedene porezne reforme i racionalne proračunske potrošnje.</w:t>
      </w:r>
    </w:p>
    <w:p w14:paraId="635B1166" w14:textId="2D4558CE" w:rsidR="00344540" w:rsidRPr="004259D0" w:rsidRDefault="00CF09B0" w:rsidP="006D0291">
      <w:pPr>
        <w:jc w:val="both"/>
        <w:rPr>
          <w:rFonts w:eastAsiaTheme="minorEastAsia"/>
          <w:lang w:val="hr-HR" w:eastAsia="hr-HR"/>
        </w:rPr>
      </w:pPr>
      <w:r w:rsidRPr="004259D0">
        <w:rPr>
          <w:rFonts w:eastAsiaTheme="minorEastAsia"/>
          <w:lang w:val="hr-HR" w:eastAsia="hr-HR"/>
        </w:rPr>
        <w:t xml:space="preserve">Kao što je prethodno navedeno, proračun opće države za 2018. prema europskoj statističkoj metodologiji ESA 2010 bilježi višak od </w:t>
      </w:r>
      <w:r w:rsidR="004650EC" w:rsidRPr="004259D0">
        <w:rPr>
          <w:rFonts w:eastAsiaTheme="minorEastAsia"/>
          <w:lang w:val="hr-HR" w:eastAsia="hr-HR"/>
        </w:rPr>
        <w:t>0,2</w:t>
      </w:r>
      <w:r w:rsidRPr="004259D0">
        <w:rPr>
          <w:rFonts w:eastAsiaTheme="minorEastAsia"/>
          <w:lang w:val="hr-HR" w:eastAsia="hr-HR"/>
        </w:rPr>
        <w:t xml:space="preserve">% BDP-a, što </w:t>
      </w:r>
      <w:r w:rsidR="007011DA" w:rsidRPr="004259D0">
        <w:rPr>
          <w:rFonts w:eastAsiaTheme="minorEastAsia"/>
          <w:lang w:val="hr-HR" w:eastAsia="hr-HR"/>
        </w:rPr>
        <w:t xml:space="preserve">predstavlja </w:t>
      </w:r>
      <w:r w:rsidRPr="004259D0">
        <w:rPr>
          <w:rFonts w:eastAsiaTheme="minorEastAsia"/>
          <w:lang w:val="hr-HR" w:eastAsia="hr-HR"/>
        </w:rPr>
        <w:t>značajno poboljšanje u odnosu na prvotno planirani manjak od 0,5% BDP-a</w:t>
      </w:r>
      <w:r w:rsidR="007011DA" w:rsidRPr="004259D0">
        <w:rPr>
          <w:rFonts w:eastAsiaTheme="minorEastAsia"/>
          <w:lang w:val="hr-HR" w:eastAsia="hr-HR"/>
        </w:rPr>
        <w:t>. Ovaj višak bio bi još i veći da se nisu</w:t>
      </w:r>
      <w:r w:rsidR="00506BBF" w:rsidRPr="004259D0">
        <w:rPr>
          <w:rFonts w:eastAsiaTheme="minorEastAsia"/>
          <w:lang w:val="hr-HR" w:eastAsia="hr-HR"/>
        </w:rPr>
        <w:t xml:space="preserve"> materijalizirale jednokratne obveze po osnovi protestriranih jamstava za Uljanik grupu</w:t>
      </w:r>
      <w:r w:rsidR="007011DA" w:rsidRPr="004259D0">
        <w:rPr>
          <w:rFonts w:eastAsiaTheme="minorEastAsia"/>
          <w:lang w:val="hr-HR" w:eastAsia="hr-HR"/>
        </w:rPr>
        <w:t xml:space="preserve"> i to u iznosu od</w:t>
      </w:r>
      <w:r w:rsidR="00506BBF" w:rsidRPr="004259D0">
        <w:rPr>
          <w:rFonts w:eastAsiaTheme="minorEastAsia"/>
          <w:lang w:val="hr-HR" w:eastAsia="hr-HR"/>
        </w:rPr>
        <w:t xml:space="preserve"> 2,5 milijardi kuna odnosno</w:t>
      </w:r>
      <w:r w:rsidR="00344540" w:rsidRPr="004259D0">
        <w:rPr>
          <w:rFonts w:eastAsiaTheme="minorEastAsia"/>
          <w:lang w:val="hr-HR" w:eastAsia="hr-HR"/>
        </w:rPr>
        <w:t xml:space="preserve"> 0,7% BDP-a.</w:t>
      </w:r>
      <w:r w:rsidRPr="004259D0">
        <w:rPr>
          <w:rFonts w:eastAsiaTheme="minorEastAsia"/>
          <w:lang w:val="hr-HR" w:eastAsia="hr-HR"/>
        </w:rPr>
        <w:t xml:space="preserve"> </w:t>
      </w:r>
      <w:r w:rsidR="007011DA" w:rsidRPr="004259D0">
        <w:rPr>
          <w:rFonts w:eastAsiaTheme="minorEastAsia"/>
          <w:lang w:val="hr-HR" w:eastAsia="hr-HR"/>
        </w:rPr>
        <w:t xml:space="preserve">Njihovom aktivacijom </w:t>
      </w:r>
      <w:r w:rsidR="00344540" w:rsidRPr="004259D0">
        <w:rPr>
          <w:rFonts w:eastAsiaTheme="minorEastAsia"/>
          <w:lang w:val="hr-HR" w:eastAsia="hr-HR"/>
        </w:rPr>
        <w:t>došlo</w:t>
      </w:r>
      <w:r w:rsidR="007011DA" w:rsidRPr="004259D0">
        <w:rPr>
          <w:rFonts w:eastAsiaTheme="minorEastAsia"/>
          <w:lang w:val="hr-HR" w:eastAsia="hr-HR"/>
        </w:rPr>
        <w:t xml:space="preserve"> je</w:t>
      </w:r>
      <w:r w:rsidR="00344540" w:rsidRPr="004259D0">
        <w:rPr>
          <w:rFonts w:eastAsiaTheme="minorEastAsia"/>
          <w:lang w:val="hr-HR" w:eastAsia="hr-HR"/>
        </w:rPr>
        <w:t xml:space="preserve"> do jednokratnog povećanja kapitalnog transfera na rashodnoj strani, što je </w:t>
      </w:r>
      <w:r w:rsidR="00180944" w:rsidRPr="004259D0">
        <w:rPr>
          <w:rFonts w:eastAsiaTheme="minorEastAsia"/>
          <w:lang w:val="hr-HR" w:eastAsia="hr-HR"/>
        </w:rPr>
        <w:t xml:space="preserve">izravno </w:t>
      </w:r>
      <w:r w:rsidR="00344540" w:rsidRPr="004259D0">
        <w:rPr>
          <w:rFonts w:eastAsiaTheme="minorEastAsia"/>
          <w:lang w:val="hr-HR" w:eastAsia="hr-HR"/>
        </w:rPr>
        <w:t xml:space="preserve">utjecalo na smanjenje viška proračuna opće države. </w:t>
      </w:r>
    </w:p>
    <w:p w14:paraId="299A97F2" w14:textId="00E42BC0" w:rsidR="006D0291" w:rsidRPr="004259D0" w:rsidRDefault="006D0291" w:rsidP="006D0291">
      <w:pPr>
        <w:jc w:val="both"/>
        <w:rPr>
          <w:lang w:val="hr-HR"/>
        </w:rPr>
      </w:pPr>
      <w:r w:rsidRPr="004259D0">
        <w:rPr>
          <w:lang w:val="hr-HR"/>
        </w:rPr>
        <w:t xml:space="preserve">Ukupni prihodi proračuna opće države u 2018. godini izvršeni su na razini od </w:t>
      </w:r>
      <w:r w:rsidR="00AB3DEB" w:rsidRPr="004259D0">
        <w:rPr>
          <w:lang w:val="hr-HR"/>
        </w:rPr>
        <w:t>46,6</w:t>
      </w:r>
      <w:r w:rsidRPr="004259D0">
        <w:rPr>
          <w:lang w:val="hr-HR"/>
        </w:rPr>
        <w:t xml:space="preserve">% BDP-a, kao rezultat pozitivnih makroekonomskih kretanja i cjelogodišnjeg učinka porezne reforme koja je </w:t>
      </w:r>
      <w:r w:rsidR="00972A5A" w:rsidRPr="004259D0">
        <w:rPr>
          <w:lang w:val="hr-HR"/>
        </w:rPr>
        <w:t>stupila na snagu početkom 2017.</w:t>
      </w:r>
      <w:r w:rsidRPr="004259D0">
        <w:rPr>
          <w:lang w:val="hr-HR"/>
        </w:rPr>
        <w:t xml:space="preserve"> te daljnjeg poreznog rasterećenja </w:t>
      </w:r>
      <w:r w:rsidR="00972A5A" w:rsidRPr="004259D0">
        <w:rPr>
          <w:lang w:val="hr-HR"/>
        </w:rPr>
        <w:t>od 1. siječnja</w:t>
      </w:r>
      <w:r w:rsidR="00E57A55" w:rsidRPr="004259D0">
        <w:rPr>
          <w:lang w:val="hr-HR"/>
        </w:rPr>
        <w:t xml:space="preserve"> 2018. </w:t>
      </w:r>
      <w:r w:rsidR="00972A5A" w:rsidRPr="004259D0">
        <w:rPr>
          <w:lang w:val="hr-HR"/>
        </w:rPr>
        <w:t>Izmjene s učinkom u 2018. godini odnos</w:t>
      </w:r>
      <w:r w:rsidR="00180944" w:rsidRPr="004259D0">
        <w:rPr>
          <w:lang w:val="hr-HR"/>
        </w:rPr>
        <w:t>il</w:t>
      </w:r>
      <w:r w:rsidR="00972A5A" w:rsidRPr="004259D0">
        <w:rPr>
          <w:lang w:val="hr-HR"/>
        </w:rPr>
        <w:t xml:space="preserve">e </w:t>
      </w:r>
      <w:r w:rsidR="00180944" w:rsidRPr="004259D0">
        <w:rPr>
          <w:lang w:val="hr-HR"/>
        </w:rPr>
        <w:t xml:space="preserve">su </w:t>
      </w:r>
      <w:r w:rsidR="00972A5A" w:rsidRPr="004259D0">
        <w:rPr>
          <w:lang w:val="hr-HR"/>
        </w:rPr>
        <w:t xml:space="preserve">se na </w:t>
      </w:r>
      <w:r w:rsidRPr="004259D0">
        <w:rPr>
          <w:lang w:val="hr-HR"/>
        </w:rPr>
        <w:t xml:space="preserve">smanjivanje oporezivanja posebnim porezom na motorna vozila i ukidanje poreza na stjecanje rabljenih motornih vozila te njegova zamjena upravnim pristojbama, ali uz manje iznose. </w:t>
      </w:r>
      <w:r w:rsidR="00972A5A" w:rsidRPr="004259D0">
        <w:rPr>
          <w:lang w:val="hr-HR"/>
        </w:rPr>
        <w:t xml:space="preserve">Osim toga, krajem 2017. godine povećane su i trošarine na duhanske proizvode s ciljem dostizanja dogovorene visine trošarina prema </w:t>
      </w:r>
      <w:r w:rsidR="00E671D0" w:rsidRPr="004259D0">
        <w:rPr>
          <w:lang w:val="hr-HR"/>
        </w:rPr>
        <w:t>Direktivi Vijeća 2011/64/EU od 21. lipnja 2011. o strukturi i stopama trošarine koje se primjenjuju na prerađeni duhan</w:t>
      </w:r>
      <w:r w:rsidR="00972A5A" w:rsidRPr="004259D0">
        <w:rPr>
          <w:lang w:val="hr-HR"/>
        </w:rPr>
        <w:t xml:space="preserve">. </w:t>
      </w:r>
      <w:r w:rsidRPr="004259D0">
        <w:rPr>
          <w:lang w:val="hr-HR"/>
        </w:rPr>
        <w:t>U sustavu poreza na dodanu vrijednost od siječnja 2018. godine povećan je prag za ulazak u sustav PDV-a na 300.000 kuna i uvedena je mogućnost od</w:t>
      </w:r>
      <w:r w:rsidR="00BB37AD" w:rsidRPr="004259D0">
        <w:rPr>
          <w:lang w:val="hr-HR"/>
        </w:rPr>
        <w:t xml:space="preserve">bitka pretporeza u iznosu od 50% </w:t>
      </w:r>
      <w:r w:rsidRPr="004259D0">
        <w:rPr>
          <w:lang w:val="hr-HR"/>
        </w:rPr>
        <w:t xml:space="preserve">za poduzetnike i to za troškove nabave osobnih automobila i drugih sredstava za osobni prijevoz te povezanih ostalih zavisnih troškova. </w:t>
      </w:r>
    </w:p>
    <w:p w14:paraId="2AC3F78E" w14:textId="1C80E4D1" w:rsidR="006D0291" w:rsidRPr="004259D0" w:rsidRDefault="006D0291" w:rsidP="006D0291">
      <w:pPr>
        <w:jc w:val="both"/>
        <w:rPr>
          <w:lang w:val="hr-HR"/>
        </w:rPr>
      </w:pPr>
      <w:r w:rsidRPr="004259D0">
        <w:rPr>
          <w:lang w:val="hr-HR"/>
        </w:rPr>
        <w:t xml:space="preserve">Porezi na proizvodnju i uvoz iznosili su </w:t>
      </w:r>
      <w:r w:rsidR="003A5F57" w:rsidRPr="004259D0">
        <w:rPr>
          <w:lang w:val="hr-HR"/>
        </w:rPr>
        <w:t>20,1</w:t>
      </w:r>
      <w:r w:rsidRPr="004259D0">
        <w:rPr>
          <w:lang w:val="hr-HR"/>
        </w:rPr>
        <w:t xml:space="preserve">% BDP-a i zabilježili međugodišnji rast od </w:t>
      </w:r>
      <w:r w:rsidR="003A5F57" w:rsidRPr="004259D0">
        <w:rPr>
          <w:lang w:val="hr-HR"/>
        </w:rPr>
        <w:t>7,2</w:t>
      </w:r>
      <w:r w:rsidRPr="004259D0">
        <w:rPr>
          <w:lang w:val="hr-HR"/>
        </w:rPr>
        <w:t xml:space="preserve">%. U njihovoj strukturi najizdašniji prihod je porez na dodanu vrijednost koji je u odnosu na godinu ranije bio veći za </w:t>
      </w:r>
      <w:r w:rsidR="00282081" w:rsidRPr="004259D0">
        <w:rPr>
          <w:lang w:val="hr-HR"/>
        </w:rPr>
        <w:t>6,8</w:t>
      </w:r>
      <w:r w:rsidRPr="004259D0">
        <w:rPr>
          <w:lang w:val="hr-HR"/>
        </w:rPr>
        <w:t xml:space="preserve">%. Prikupljeni prihodi od PDV-a rezultat su povećanja osobne potrošnje uslijed rasta raspoloživog dohotka stanovništva, potpomognuto povoljnim kretanjima na tržištu rada te uspješnom turističkom sezonom. </w:t>
      </w:r>
    </w:p>
    <w:p w14:paraId="3AFCD7DB" w14:textId="5E152E54" w:rsidR="006D0291" w:rsidRPr="004259D0" w:rsidRDefault="006D0291" w:rsidP="006D0291">
      <w:pPr>
        <w:jc w:val="both"/>
        <w:rPr>
          <w:lang w:val="hr-HR"/>
        </w:rPr>
      </w:pPr>
      <w:r w:rsidRPr="004259D0">
        <w:rPr>
          <w:lang w:val="hr-HR"/>
        </w:rPr>
        <w:t>Značajan rast od 5,</w:t>
      </w:r>
      <w:r w:rsidR="00AB3DEB" w:rsidRPr="004259D0">
        <w:rPr>
          <w:lang w:val="hr-HR"/>
        </w:rPr>
        <w:t>2</w:t>
      </w:r>
      <w:r w:rsidRPr="004259D0">
        <w:rPr>
          <w:lang w:val="hr-HR"/>
        </w:rPr>
        <w:t xml:space="preserve">% bilježe i prihodi od socijalnih doprinosa koji su u 2018. iznosili </w:t>
      </w:r>
      <w:r w:rsidR="003A5F57" w:rsidRPr="004259D0">
        <w:rPr>
          <w:lang w:val="hr-HR"/>
        </w:rPr>
        <w:t>12</w:t>
      </w:r>
      <w:r w:rsidRPr="004259D0">
        <w:rPr>
          <w:lang w:val="hr-HR"/>
        </w:rPr>
        <w:t xml:space="preserve">% BDP-a, </w:t>
      </w:r>
      <w:r w:rsidR="00C21D32" w:rsidRPr="004259D0">
        <w:rPr>
          <w:lang w:val="hr-HR"/>
        </w:rPr>
        <w:t>kao posljedica</w:t>
      </w:r>
      <w:r w:rsidRPr="004259D0">
        <w:rPr>
          <w:lang w:val="hr-HR"/>
        </w:rPr>
        <w:t xml:space="preserve"> povoljnih kretanja na tržištu rada. Tekući porezi na dohodak i bogatstvo, koji uključuju porez na dohodak i porez na dobit, rastu </w:t>
      </w:r>
      <w:r w:rsidR="00C40331" w:rsidRPr="004259D0">
        <w:rPr>
          <w:lang w:val="hr-HR"/>
        </w:rPr>
        <w:t>6,7</w:t>
      </w:r>
      <w:r w:rsidR="00C21D32" w:rsidRPr="004259D0">
        <w:rPr>
          <w:lang w:val="hr-HR"/>
        </w:rPr>
        <w:t xml:space="preserve">% uslijed već spomenutih pozitivnih kretanja na tržištu rada te </w:t>
      </w:r>
      <w:r w:rsidRPr="004259D0">
        <w:rPr>
          <w:lang w:val="hr-HR"/>
        </w:rPr>
        <w:t>dobr</w:t>
      </w:r>
      <w:r w:rsidR="00C21D32" w:rsidRPr="004259D0">
        <w:rPr>
          <w:lang w:val="hr-HR"/>
        </w:rPr>
        <w:t xml:space="preserve">ih rezultata </w:t>
      </w:r>
      <w:r w:rsidRPr="004259D0">
        <w:rPr>
          <w:lang w:val="hr-HR"/>
        </w:rPr>
        <w:t>poslovanja pod</w:t>
      </w:r>
      <w:r w:rsidR="00C21D32" w:rsidRPr="004259D0">
        <w:rPr>
          <w:lang w:val="hr-HR"/>
        </w:rPr>
        <w:t>uzeća i banaka tijekom 2017. godine</w:t>
      </w:r>
      <w:r w:rsidRPr="004259D0">
        <w:rPr>
          <w:lang w:val="hr-HR"/>
        </w:rPr>
        <w:t xml:space="preserve">. Uz porezne prihode, značajni su i prihodi od ostalih tekućih i kapitalnih transfera koji uključuju i sredstava iz fondova EU, a u 2018. godini iznosili su </w:t>
      </w:r>
      <w:r w:rsidR="00282081" w:rsidRPr="004259D0">
        <w:rPr>
          <w:lang w:val="hr-HR"/>
        </w:rPr>
        <w:t>2,7</w:t>
      </w:r>
      <w:r w:rsidRPr="004259D0">
        <w:rPr>
          <w:lang w:val="hr-HR"/>
        </w:rPr>
        <w:t>%</w:t>
      </w:r>
      <w:r w:rsidR="00282081" w:rsidRPr="004259D0">
        <w:rPr>
          <w:lang w:val="hr-HR"/>
        </w:rPr>
        <w:t xml:space="preserve"> BDP-a, pri čemu</w:t>
      </w:r>
      <w:r w:rsidR="003562F6" w:rsidRPr="004259D0">
        <w:rPr>
          <w:lang w:val="hr-HR"/>
        </w:rPr>
        <w:t xml:space="preserve"> prihodi </w:t>
      </w:r>
      <w:r w:rsidR="00282081" w:rsidRPr="004259D0">
        <w:rPr>
          <w:lang w:val="hr-HR"/>
        </w:rPr>
        <w:t xml:space="preserve">iz EU fondova </w:t>
      </w:r>
      <w:r w:rsidR="003562F6" w:rsidRPr="004259D0">
        <w:rPr>
          <w:lang w:val="hr-HR"/>
        </w:rPr>
        <w:t>bilježe porast od 32,1% na godišnjoj razini.</w:t>
      </w:r>
    </w:p>
    <w:p w14:paraId="10F1BB29" w14:textId="1E3CB6C3" w:rsidR="00CF09B0" w:rsidRPr="004259D0" w:rsidRDefault="00CF09B0" w:rsidP="00CF09B0">
      <w:pPr>
        <w:spacing w:after="240"/>
        <w:jc w:val="both"/>
        <w:rPr>
          <w:lang w:val="hr-HR"/>
        </w:rPr>
      </w:pPr>
      <w:r w:rsidRPr="004259D0">
        <w:rPr>
          <w:lang w:val="hr-HR"/>
        </w:rPr>
        <w:t xml:space="preserve">Ukupni rashodi proračuna opće države </w:t>
      </w:r>
      <w:r w:rsidR="009311A4" w:rsidRPr="004259D0">
        <w:rPr>
          <w:lang w:val="hr-HR"/>
        </w:rPr>
        <w:t>izvršeni</w:t>
      </w:r>
      <w:r w:rsidRPr="004259D0">
        <w:rPr>
          <w:lang w:val="hr-HR"/>
        </w:rPr>
        <w:t xml:space="preserve"> su na razini od 4</w:t>
      </w:r>
      <w:r w:rsidR="00CD7424" w:rsidRPr="004259D0">
        <w:rPr>
          <w:lang w:val="hr-HR"/>
        </w:rPr>
        <w:t>6</w:t>
      </w:r>
      <w:r w:rsidRPr="004259D0">
        <w:rPr>
          <w:lang w:val="hr-HR"/>
        </w:rPr>
        <w:t>,</w:t>
      </w:r>
      <w:r w:rsidR="009311A4" w:rsidRPr="004259D0">
        <w:rPr>
          <w:lang w:val="hr-HR"/>
        </w:rPr>
        <w:t>4</w:t>
      </w:r>
      <w:r w:rsidRPr="004259D0">
        <w:rPr>
          <w:lang w:val="hr-HR"/>
        </w:rPr>
        <w:t>% BDP-a u 2018. godini.</w:t>
      </w:r>
    </w:p>
    <w:p w14:paraId="24A5DC21" w14:textId="07B2EC7A" w:rsidR="00CF09B0" w:rsidRPr="004259D0" w:rsidRDefault="00CF09B0" w:rsidP="00CF09B0">
      <w:pPr>
        <w:spacing w:after="240"/>
        <w:jc w:val="both"/>
        <w:rPr>
          <w:lang w:val="hr-HR"/>
        </w:rPr>
      </w:pPr>
      <w:r w:rsidRPr="004259D0">
        <w:rPr>
          <w:lang w:val="hr-HR"/>
        </w:rPr>
        <w:t>Naknade zaposlenima bilježe razinu od 11,</w:t>
      </w:r>
      <w:r w:rsidR="00CD7424" w:rsidRPr="004259D0">
        <w:rPr>
          <w:lang w:val="hr-HR"/>
        </w:rPr>
        <w:t>7</w:t>
      </w:r>
      <w:r w:rsidRPr="004259D0">
        <w:rPr>
          <w:lang w:val="hr-HR"/>
        </w:rPr>
        <w:t>% BDP-a</w:t>
      </w:r>
      <w:r w:rsidR="00533398" w:rsidRPr="004259D0">
        <w:rPr>
          <w:lang w:val="hr-HR"/>
        </w:rPr>
        <w:t xml:space="preserve"> i rastu za 7%</w:t>
      </w:r>
      <w:r w:rsidRPr="004259D0">
        <w:rPr>
          <w:lang w:val="hr-HR"/>
        </w:rPr>
        <w:t xml:space="preserve">. </w:t>
      </w:r>
      <w:r w:rsidR="00533398" w:rsidRPr="004259D0">
        <w:rPr>
          <w:lang w:val="hr-HR"/>
        </w:rPr>
        <w:t>Ovakvo povećanje</w:t>
      </w:r>
      <w:r w:rsidRPr="004259D0">
        <w:rPr>
          <w:lang w:val="hr-HR"/>
        </w:rPr>
        <w:t xml:space="preserve"> prvenstveno je rezultat cjelogodišnjeg učinka </w:t>
      </w:r>
      <w:r w:rsidR="00533398" w:rsidRPr="004259D0">
        <w:rPr>
          <w:lang w:val="hr-HR"/>
        </w:rPr>
        <w:t>povećanje osnovice za 6%</w:t>
      </w:r>
      <w:r w:rsidRPr="004259D0">
        <w:rPr>
          <w:lang w:val="hr-HR"/>
        </w:rPr>
        <w:t xml:space="preserve"> za državne i javne službenike iz 2017. godine</w:t>
      </w:r>
      <w:r w:rsidR="00533398" w:rsidRPr="004259D0">
        <w:rPr>
          <w:lang w:val="hr-HR"/>
        </w:rPr>
        <w:t>, korekcije za minuli rad od 0,5% te izmjene granskih kolektivnih ugovora u pojedinim djelatnostima javnih službi kao i izmjena Uredbi koje reguliraju plaće u službama vanjskih</w:t>
      </w:r>
      <w:r w:rsidR="00363FD9" w:rsidRPr="004259D0">
        <w:rPr>
          <w:lang w:val="hr-HR"/>
        </w:rPr>
        <w:t xml:space="preserve"> i</w:t>
      </w:r>
      <w:r w:rsidR="00533398" w:rsidRPr="004259D0">
        <w:rPr>
          <w:lang w:val="hr-HR"/>
        </w:rPr>
        <w:t xml:space="preserve"> unutarnjih poslova</w:t>
      </w:r>
      <w:r w:rsidR="00A46888" w:rsidRPr="004259D0">
        <w:rPr>
          <w:lang w:val="hr-HR"/>
        </w:rPr>
        <w:t xml:space="preserve"> </w:t>
      </w:r>
      <w:r w:rsidR="00363FD9" w:rsidRPr="004259D0">
        <w:rPr>
          <w:lang w:val="hr-HR"/>
        </w:rPr>
        <w:t>te</w:t>
      </w:r>
      <w:r w:rsidR="00A46888" w:rsidRPr="004259D0">
        <w:rPr>
          <w:lang w:val="hr-HR"/>
        </w:rPr>
        <w:t xml:space="preserve"> socijalne skrbi</w:t>
      </w:r>
      <w:r w:rsidR="00533398" w:rsidRPr="004259D0">
        <w:rPr>
          <w:lang w:val="hr-HR"/>
        </w:rPr>
        <w:t xml:space="preserve">. </w:t>
      </w:r>
      <w:r w:rsidRPr="004259D0">
        <w:rPr>
          <w:lang w:val="hr-HR"/>
        </w:rPr>
        <w:t>Osim toga, ovi rashodi uključuju i povećana izdvajanja za zaposlene koja se financiraju iz EU fondova kao i sredstva za naknade zaposlenima iz društva HAC-ONC, koji je od prosinca 2017. pripojen HAC-u i time razvrstan u sektor opće države.</w:t>
      </w:r>
      <w:r w:rsidR="00105D94" w:rsidRPr="004259D0">
        <w:rPr>
          <w:lang w:val="hr-HR"/>
        </w:rPr>
        <w:t xml:space="preserve"> Isto tako, zabilježeno je i povećanje naknada zaposlenima kod jedinica lokalne i područne (regionalne) samouprave</w:t>
      </w:r>
      <w:r w:rsidR="00B84CDF" w:rsidRPr="004259D0">
        <w:rPr>
          <w:lang w:val="hr-HR"/>
        </w:rPr>
        <w:t xml:space="preserve"> (u daljnjem tekstu: JLP(R)S)</w:t>
      </w:r>
      <w:r w:rsidR="00105D94" w:rsidRPr="004259D0">
        <w:rPr>
          <w:lang w:val="hr-HR"/>
        </w:rPr>
        <w:t xml:space="preserve">. </w:t>
      </w:r>
    </w:p>
    <w:p w14:paraId="09FA955D" w14:textId="7626BA44" w:rsidR="00CF09B0" w:rsidRPr="004259D0" w:rsidRDefault="00CF09B0" w:rsidP="00CF09B0">
      <w:pPr>
        <w:spacing w:after="240"/>
        <w:jc w:val="both"/>
        <w:rPr>
          <w:lang w:val="hr-HR"/>
        </w:rPr>
      </w:pPr>
      <w:r w:rsidRPr="004259D0">
        <w:rPr>
          <w:lang w:val="hr-HR"/>
        </w:rPr>
        <w:t xml:space="preserve">Rashodi za intermedijarnu potrošnju izvršeni su na razini od </w:t>
      </w:r>
      <w:r w:rsidR="001B4169" w:rsidRPr="004259D0">
        <w:rPr>
          <w:lang w:val="hr-HR"/>
        </w:rPr>
        <w:t>8,</w:t>
      </w:r>
      <w:r w:rsidR="00447FF4" w:rsidRPr="004259D0">
        <w:rPr>
          <w:lang w:val="hr-HR"/>
        </w:rPr>
        <w:t>2</w:t>
      </w:r>
      <w:r w:rsidRPr="004259D0">
        <w:rPr>
          <w:lang w:val="hr-HR"/>
        </w:rPr>
        <w:t>% BDP-a. Ova kategorija uključuje materijalne rashode</w:t>
      </w:r>
      <w:r w:rsidR="00363FD9" w:rsidRPr="004259D0">
        <w:rPr>
          <w:lang w:val="hr-HR"/>
        </w:rPr>
        <w:t xml:space="preserve"> svih</w:t>
      </w:r>
      <w:r w:rsidRPr="004259D0">
        <w:rPr>
          <w:lang w:val="hr-HR"/>
        </w:rPr>
        <w:t xml:space="preserve"> jedinica sektora opće države, a između ostalog i troškove zdravstvenih ustanova za lijekove te medicinski i sanitetski materijal. Veća izdvajanja zabilježena su i na rashodima za </w:t>
      </w:r>
      <w:r w:rsidR="00CE45FF" w:rsidRPr="004259D0">
        <w:rPr>
          <w:lang w:val="hr-HR"/>
        </w:rPr>
        <w:t>materijal i energiju te za tekuće i investicijsko održavanje</w:t>
      </w:r>
      <w:r w:rsidRPr="004259D0">
        <w:rPr>
          <w:lang w:val="hr-HR"/>
        </w:rPr>
        <w:t>.</w:t>
      </w:r>
    </w:p>
    <w:p w14:paraId="6D40CD2D" w14:textId="3A74D5C2" w:rsidR="00CF09B0" w:rsidRPr="004259D0" w:rsidRDefault="00CF09B0" w:rsidP="00CF09B0">
      <w:pPr>
        <w:spacing w:after="240"/>
        <w:jc w:val="both"/>
        <w:rPr>
          <w:lang w:val="hr-HR"/>
        </w:rPr>
      </w:pPr>
      <w:r w:rsidRPr="004259D0">
        <w:rPr>
          <w:lang w:val="hr-HR"/>
        </w:rPr>
        <w:t xml:space="preserve">Rashodi za subvencije bilježe razinu od </w:t>
      </w:r>
      <w:r w:rsidR="000F38A4" w:rsidRPr="004259D0">
        <w:rPr>
          <w:lang w:val="hr-HR"/>
        </w:rPr>
        <w:t>1,</w:t>
      </w:r>
      <w:r w:rsidR="00447FF4" w:rsidRPr="004259D0">
        <w:rPr>
          <w:lang w:val="hr-HR"/>
        </w:rPr>
        <w:t>5</w:t>
      </w:r>
      <w:r w:rsidRPr="004259D0">
        <w:rPr>
          <w:lang w:val="hr-HR"/>
        </w:rPr>
        <w:t xml:space="preserve">% BDP-a. Najznačajniji iznos subvencija odnosi se </w:t>
      </w:r>
      <w:r w:rsidR="004469E8" w:rsidRPr="004259D0">
        <w:rPr>
          <w:lang w:val="hr-HR"/>
        </w:rPr>
        <w:t xml:space="preserve">subvencije </w:t>
      </w:r>
      <w:r w:rsidR="00FA6613" w:rsidRPr="004259D0">
        <w:rPr>
          <w:lang w:val="hr-HR"/>
        </w:rPr>
        <w:t xml:space="preserve">Hrvatskog operatora tržišta energije d.o.o. (u daljnjem tekstu: </w:t>
      </w:r>
      <w:r w:rsidR="004469E8" w:rsidRPr="004259D0">
        <w:rPr>
          <w:lang w:val="hr-HR"/>
        </w:rPr>
        <w:t>HROTE</w:t>
      </w:r>
      <w:r w:rsidR="00FA6613" w:rsidRPr="004259D0">
        <w:rPr>
          <w:lang w:val="hr-HR"/>
        </w:rPr>
        <w:t>)</w:t>
      </w:r>
      <w:r w:rsidR="004469E8" w:rsidRPr="004259D0">
        <w:rPr>
          <w:lang w:val="hr-HR"/>
        </w:rPr>
        <w:t xml:space="preserve"> za proizvođače energije iz obnovljivih izvora, koje se financiraju iz naknade za poticanje električne energije iz obnovljivih izvora. </w:t>
      </w:r>
      <w:r w:rsidRPr="004259D0">
        <w:rPr>
          <w:lang w:val="hr-HR"/>
        </w:rPr>
        <w:t>Značajan udio u ovoj kategoriji rashoda čine</w:t>
      </w:r>
      <w:r w:rsidR="004469E8" w:rsidRPr="004259D0">
        <w:rPr>
          <w:lang w:val="hr-HR"/>
        </w:rPr>
        <w:t xml:space="preserve"> izdvajanja u poljoprivredi kao</w:t>
      </w:r>
      <w:r w:rsidRPr="004259D0">
        <w:rPr>
          <w:lang w:val="hr-HR"/>
        </w:rPr>
        <w:t xml:space="preserve"> i izdvajanja za provedbu ugovora o koncesijama i za poticanje pomorskog putničkog prijevoza. </w:t>
      </w:r>
    </w:p>
    <w:p w14:paraId="6A0C209F" w14:textId="2185465A" w:rsidR="00CF09B0" w:rsidRPr="004259D0" w:rsidRDefault="00CF09B0" w:rsidP="00CF09B0">
      <w:pPr>
        <w:spacing w:after="240"/>
        <w:jc w:val="both"/>
        <w:rPr>
          <w:lang w:val="hr-HR"/>
        </w:rPr>
      </w:pPr>
      <w:r w:rsidRPr="004259D0">
        <w:rPr>
          <w:lang w:val="hr-HR"/>
        </w:rPr>
        <w:t>Rashodi za kamate izvršeni su s udjelom od 2,</w:t>
      </w:r>
      <w:r w:rsidR="000F38A4" w:rsidRPr="004259D0">
        <w:rPr>
          <w:lang w:val="hr-HR"/>
        </w:rPr>
        <w:t>3</w:t>
      </w:r>
      <w:r w:rsidRPr="004259D0">
        <w:rPr>
          <w:lang w:val="hr-HR"/>
        </w:rPr>
        <w:t>% u BDP-u. U odnosu na prošlu godinu smanjeni su za 0,</w:t>
      </w:r>
      <w:r w:rsidR="000F38A4" w:rsidRPr="004259D0">
        <w:rPr>
          <w:lang w:val="hr-HR"/>
        </w:rPr>
        <w:t>3</w:t>
      </w:r>
      <w:r w:rsidRPr="004259D0">
        <w:rPr>
          <w:lang w:val="hr-HR"/>
        </w:rPr>
        <w:t xml:space="preserve"> postotna boda BDP-a </w:t>
      </w:r>
      <w:r w:rsidR="002133C5" w:rsidRPr="004259D0">
        <w:rPr>
          <w:lang w:val="hr-HR"/>
        </w:rPr>
        <w:t xml:space="preserve">ili gotovo 900 milijuna kuna. Takva kretanja rezultat su odgovornog vođenja fiskalne politike, praćenog aktivnom politikom upravljanja javnim dugom, što je dovelo do </w:t>
      </w:r>
      <w:r w:rsidRPr="004259D0">
        <w:rPr>
          <w:lang w:val="hr-HR"/>
        </w:rPr>
        <w:t>smanjen</w:t>
      </w:r>
      <w:r w:rsidR="002133C5" w:rsidRPr="004259D0">
        <w:rPr>
          <w:lang w:val="hr-HR"/>
        </w:rPr>
        <w:t>ja troškov</w:t>
      </w:r>
      <w:r w:rsidRPr="004259D0">
        <w:rPr>
          <w:lang w:val="hr-HR"/>
        </w:rPr>
        <w:t>a servisiranja javnog duga. Ovdje valja napomenuti kako su završetkom druge faze financijskog restrukturiranja duga cestovnog sektora, značajno smanjeni troškovi kamata u ovom sektoru i to za više od 30% u odnosu na njihove ranije troškove.</w:t>
      </w:r>
      <w:r w:rsidR="002133C5" w:rsidRPr="004259D0">
        <w:t xml:space="preserve"> </w:t>
      </w:r>
    </w:p>
    <w:p w14:paraId="6E4C558A" w14:textId="6D7A22D1" w:rsidR="00CF09B0" w:rsidRPr="004259D0" w:rsidRDefault="00CF09B0" w:rsidP="00CF09B0">
      <w:pPr>
        <w:spacing w:after="240"/>
        <w:jc w:val="both"/>
        <w:rPr>
          <w:lang w:val="hr-HR"/>
        </w:rPr>
      </w:pPr>
      <w:r w:rsidRPr="004259D0">
        <w:rPr>
          <w:lang w:val="hr-HR"/>
        </w:rPr>
        <w:t xml:space="preserve">Socijalne naknade i socijalni transferi čine najznačajniju kategoriju ukupnih rashoda proračuna opće države i bilježe razinu od </w:t>
      </w:r>
      <w:r w:rsidR="000F38A4" w:rsidRPr="004259D0">
        <w:rPr>
          <w:lang w:val="hr-HR"/>
        </w:rPr>
        <w:t>15,6</w:t>
      </w:r>
      <w:r w:rsidRPr="004259D0">
        <w:rPr>
          <w:lang w:val="hr-HR"/>
        </w:rPr>
        <w:t xml:space="preserve">% BDP-a. Ove rashode u najvećoj mjeri određuje kretanje rashoda za mirovine, rashoda za lijekove na recept, porodiljnih naknada, naknada za socijalnu skrb, dječjeg doplatka te naknada za nezaposlene. Rashodi za mirovine </w:t>
      </w:r>
      <w:r w:rsidR="00827264" w:rsidRPr="004259D0">
        <w:rPr>
          <w:lang w:val="hr-HR"/>
        </w:rPr>
        <w:t xml:space="preserve">i mirovinska primanja </w:t>
      </w:r>
      <w:r w:rsidRPr="004259D0">
        <w:rPr>
          <w:lang w:val="hr-HR"/>
        </w:rPr>
        <w:t xml:space="preserve">ostvareni su na razini od 10,3% BDP-a, što je </w:t>
      </w:r>
      <w:r w:rsidR="00C942A1" w:rsidRPr="004259D0">
        <w:rPr>
          <w:lang w:val="hr-HR"/>
        </w:rPr>
        <w:t xml:space="preserve">prvenstveno </w:t>
      </w:r>
      <w:r w:rsidRPr="004259D0">
        <w:rPr>
          <w:lang w:val="hr-HR"/>
        </w:rPr>
        <w:t xml:space="preserve">rezultat </w:t>
      </w:r>
      <w:r w:rsidR="00827264" w:rsidRPr="004259D0">
        <w:rPr>
          <w:lang w:val="hr-HR"/>
        </w:rPr>
        <w:t xml:space="preserve">usklađivanja mirovina ostvarenih prema općem i posebnim propisima i to od siječnja 2018. za 0,94% i od 1. srpnja 2018. godine za 2,7%. Nadalje, na njihovo povećanje je utjecao i </w:t>
      </w:r>
      <w:r w:rsidRPr="004259D0">
        <w:rPr>
          <w:lang w:val="hr-HR"/>
        </w:rPr>
        <w:t>prenesen</w:t>
      </w:r>
      <w:r w:rsidR="00827264" w:rsidRPr="004259D0">
        <w:rPr>
          <w:lang w:val="hr-HR"/>
        </w:rPr>
        <w:t>i</w:t>
      </w:r>
      <w:r w:rsidRPr="004259D0">
        <w:rPr>
          <w:lang w:val="hr-HR"/>
        </w:rPr>
        <w:t xml:space="preserve"> </w:t>
      </w:r>
      <w:r w:rsidRPr="004259D0">
        <w:rPr>
          <w:bCs/>
          <w:iCs/>
          <w:lang w:val="hr-HR"/>
        </w:rPr>
        <w:t>kumuliran</w:t>
      </w:r>
      <w:r w:rsidR="00827264" w:rsidRPr="004259D0">
        <w:rPr>
          <w:bCs/>
          <w:iCs/>
          <w:lang w:val="hr-HR"/>
        </w:rPr>
        <w:t>i</w:t>
      </w:r>
      <w:r w:rsidRPr="004259D0">
        <w:rPr>
          <w:bCs/>
          <w:iCs/>
          <w:lang w:val="hr-HR"/>
        </w:rPr>
        <w:t xml:space="preserve"> učin</w:t>
      </w:r>
      <w:r w:rsidR="00827264" w:rsidRPr="004259D0">
        <w:rPr>
          <w:bCs/>
          <w:iCs/>
          <w:lang w:val="hr-HR"/>
        </w:rPr>
        <w:t>a</w:t>
      </w:r>
      <w:r w:rsidRPr="004259D0">
        <w:rPr>
          <w:bCs/>
          <w:iCs/>
          <w:lang w:val="hr-HR"/>
        </w:rPr>
        <w:t>k promjene broja i strukture korisnika mirovina iz 2017.</w:t>
      </w:r>
      <w:r w:rsidR="00C942A1" w:rsidRPr="004259D0">
        <w:rPr>
          <w:bCs/>
          <w:iCs/>
          <w:lang w:val="hr-HR"/>
        </w:rPr>
        <w:t>,</w:t>
      </w:r>
      <w:r w:rsidRPr="004259D0">
        <w:rPr>
          <w:bCs/>
          <w:iCs/>
          <w:lang w:val="hr-HR"/>
        </w:rPr>
        <w:t xml:space="preserve"> </w:t>
      </w:r>
      <w:r w:rsidRPr="004259D0">
        <w:rPr>
          <w:lang w:val="hr-HR"/>
        </w:rPr>
        <w:t>prestan</w:t>
      </w:r>
      <w:r w:rsidR="00827264" w:rsidRPr="004259D0">
        <w:rPr>
          <w:lang w:val="hr-HR"/>
        </w:rPr>
        <w:t>a</w:t>
      </w:r>
      <w:r w:rsidRPr="004259D0">
        <w:rPr>
          <w:lang w:val="hr-HR"/>
        </w:rPr>
        <w:t>k smanjenja mirovina ostvarenih prema posebnim propisima većih od 5.000 kuna za 10% iz 2017.</w:t>
      </w:r>
      <w:r w:rsidRPr="004259D0">
        <w:rPr>
          <w:rFonts w:cs="Times New Roman"/>
          <w:vertAlign w:val="superscript"/>
          <w:lang w:val="hr-HR"/>
        </w:rPr>
        <w:footnoteReference w:id="29"/>
      </w:r>
      <w:r w:rsidR="00827264" w:rsidRPr="004259D0">
        <w:rPr>
          <w:lang w:val="hr-HR"/>
        </w:rPr>
        <w:t>, primjena odredbi o najnižoj mirovini novog Zakona o hrvatskim braniteljima iz Domovinskog rata i članovima njihovih obitelji</w:t>
      </w:r>
      <w:r w:rsidR="00827264" w:rsidRPr="004259D0">
        <w:rPr>
          <w:rStyle w:val="FootnoteReference"/>
          <w:lang w:val="hr-HR"/>
        </w:rPr>
        <w:footnoteReference w:id="30"/>
      </w:r>
      <w:r w:rsidR="00827264" w:rsidRPr="004259D0">
        <w:rPr>
          <w:lang w:val="hr-HR"/>
        </w:rPr>
        <w:t xml:space="preserve"> te isplate neisplaćenih svota dokupljenih mirovina</w:t>
      </w:r>
      <w:r w:rsidR="000733C7" w:rsidRPr="004259D0">
        <w:rPr>
          <w:lang w:val="hr-HR"/>
        </w:rPr>
        <w:t xml:space="preserve"> </w:t>
      </w:r>
      <w:r w:rsidR="00827264" w:rsidRPr="004259D0">
        <w:rPr>
          <w:lang w:val="hr-HR"/>
        </w:rPr>
        <w:t>prema Zakonu o nastavku isplate dokupljenih mirovina</w:t>
      </w:r>
      <w:r w:rsidR="00827264" w:rsidRPr="004259D0">
        <w:rPr>
          <w:rStyle w:val="FootnoteReference"/>
          <w:lang w:val="hr-HR"/>
        </w:rPr>
        <w:footnoteReference w:id="31"/>
      </w:r>
      <w:r w:rsidR="00827264" w:rsidRPr="004259D0">
        <w:rPr>
          <w:lang w:val="hr-HR"/>
        </w:rPr>
        <w:t>.</w:t>
      </w:r>
      <w:r w:rsidR="00E56ED9" w:rsidRPr="004259D0">
        <w:rPr>
          <w:lang w:val="hr-HR"/>
        </w:rPr>
        <w:t xml:space="preserve"> </w:t>
      </w:r>
      <w:r w:rsidRPr="004259D0">
        <w:rPr>
          <w:lang w:val="hr-HR"/>
        </w:rPr>
        <w:t>Izdvajanja za doplatak za djecu iznose 0,3% BDP-a te su smanjena temeljem primjene Zakona o izmjenama i dopunama Zakona o doplatku za djecu</w:t>
      </w:r>
      <w:r w:rsidRPr="004259D0">
        <w:rPr>
          <w:rStyle w:val="FootnoteReference"/>
          <w:lang w:val="hr-HR"/>
        </w:rPr>
        <w:footnoteReference w:id="32"/>
      </w:r>
      <w:r w:rsidRPr="004259D0">
        <w:rPr>
          <w:lang w:val="hr-HR"/>
        </w:rPr>
        <w:t xml:space="preserve"> te trenda smanjenja prosječnog broja korisnika i prosječnog broja djece koja primaju doplatak za djecu. Porodiljne naknade ostvarene su na razini od 0,7% BDP-a. Unutar ove kategorije rashoda uključen je cjelogodišnji učinak Izmjena i dopuna Zakona o rodiljnim i roditeljskim potporama</w:t>
      </w:r>
      <w:r w:rsidRPr="004259D0">
        <w:rPr>
          <w:rFonts w:cs="Times New Roman"/>
          <w:vertAlign w:val="superscript"/>
          <w:lang w:val="hr-HR"/>
        </w:rPr>
        <w:footnoteReference w:id="33"/>
      </w:r>
      <w:r w:rsidRPr="004259D0">
        <w:rPr>
          <w:lang w:val="hr-HR"/>
        </w:rPr>
        <w:t>, koji je stupio na snagu 1. srpnja 2017., a temeljem kojega se povećao iznos novčanih potpora za vrijeme korištenja dodatnog roditeljskog dopusta. Naknade za nezaposlene ostvarene su na razini od 0,2% BDP-a. Naknade za socijalnu skrb koje uključuju zajamčenu minimalnu naknadu, osobne invalidnine i doplatak za pomoć i njegu,</w:t>
      </w:r>
      <w:r w:rsidRPr="004259D0">
        <w:rPr>
          <w:rFonts w:ascii="Times New Roman" w:hAnsi="Times New Roman" w:cs="Times New Roman"/>
          <w:sz w:val="24"/>
          <w:lang w:val="hr-HR"/>
        </w:rPr>
        <w:t xml:space="preserve"> </w:t>
      </w:r>
      <w:r w:rsidRPr="004259D0">
        <w:rPr>
          <w:lang w:val="hr-HR"/>
        </w:rPr>
        <w:t>ostvarene su na razini od 0,6% BDP-a. Ova skupina rashoda uključuje i povećana izdvajanja za skrb o braniteljima temeljem novog Zakona o hrvatskim braniteljima iz Domovinskog rata i članovima njihovih obitelji</w:t>
      </w:r>
      <w:r w:rsidRPr="004259D0">
        <w:rPr>
          <w:rStyle w:val="FootnoteReference"/>
          <w:lang w:val="hr-HR"/>
        </w:rPr>
        <w:footnoteReference w:id="34"/>
      </w:r>
      <w:r w:rsidRPr="004259D0">
        <w:rPr>
          <w:lang w:val="hr-HR"/>
        </w:rPr>
        <w:t xml:space="preserve"> iz prosinca 2017. godine, a kojim se proširuje opseg njihovih prava. Također, u 2018. godini osigurana su i sredstva za provedbu Zakona o izmjenama i dopunama Zakona o subvencioniranju stambenih kredita</w:t>
      </w:r>
      <w:r w:rsidRPr="004259D0">
        <w:rPr>
          <w:rStyle w:val="FootnoteReference"/>
          <w:lang w:val="hr-HR"/>
        </w:rPr>
        <w:footnoteReference w:id="35"/>
      </w:r>
      <w:r w:rsidRPr="004259D0">
        <w:rPr>
          <w:lang w:val="hr-HR"/>
        </w:rPr>
        <w:t xml:space="preserve">, koji je stupio na snagu 19. srpnja 2018., a kojim je </w:t>
      </w:r>
      <w:r w:rsidR="00C942A1" w:rsidRPr="004259D0">
        <w:rPr>
          <w:lang w:val="hr-HR"/>
        </w:rPr>
        <w:t xml:space="preserve">omogućeno </w:t>
      </w:r>
      <w:r w:rsidRPr="004259D0">
        <w:rPr>
          <w:lang w:val="hr-HR"/>
        </w:rPr>
        <w:t>subvencioniranje kredita za kupnju stana ili kuće, odnosno izgradnju kuće.</w:t>
      </w:r>
    </w:p>
    <w:p w14:paraId="017A90EA" w14:textId="53744B9E" w:rsidR="00CF09B0" w:rsidRPr="004259D0" w:rsidRDefault="00CF09B0" w:rsidP="00CF09B0">
      <w:pPr>
        <w:spacing w:after="240"/>
        <w:jc w:val="both"/>
        <w:rPr>
          <w:lang w:val="hr-HR"/>
        </w:rPr>
      </w:pPr>
      <w:r w:rsidRPr="004259D0">
        <w:rPr>
          <w:lang w:val="hr-HR"/>
        </w:rPr>
        <w:t xml:space="preserve">Ostali rashodi, koji se većinom odnose na tekuće i kapitalne transfere, izvršeni su na razini od </w:t>
      </w:r>
      <w:r w:rsidR="0033306A" w:rsidRPr="004259D0">
        <w:rPr>
          <w:lang w:val="hr-HR"/>
        </w:rPr>
        <w:t>3,7</w:t>
      </w:r>
      <w:r w:rsidRPr="004259D0">
        <w:rPr>
          <w:lang w:val="hr-HR"/>
        </w:rPr>
        <w:t xml:space="preserve">% BDP-a. Najvećim dijelom odnose se na aktivnosti financirane iz EU fondova kao i uplatu vlastitog doprinosa RH u proračun EU. </w:t>
      </w:r>
      <w:r w:rsidR="00C942A1" w:rsidRPr="004259D0">
        <w:rPr>
          <w:lang w:val="hr-HR"/>
        </w:rPr>
        <w:t xml:space="preserve">Osim toga, </w:t>
      </w:r>
      <w:r w:rsidR="00776059" w:rsidRPr="004259D0">
        <w:rPr>
          <w:lang w:val="hr-HR"/>
        </w:rPr>
        <w:t>povećanje k</w:t>
      </w:r>
      <w:r w:rsidR="00C942A1" w:rsidRPr="004259D0">
        <w:rPr>
          <w:lang w:val="hr-HR"/>
        </w:rPr>
        <w:t>apitaln</w:t>
      </w:r>
      <w:r w:rsidR="00776059" w:rsidRPr="004259D0">
        <w:rPr>
          <w:lang w:val="hr-HR"/>
        </w:rPr>
        <w:t>ih</w:t>
      </w:r>
      <w:r w:rsidR="00C942A1" w:rsidRPr="004259D0">
        <w:rPr>
          <w:lang w:val="hr-HR"/>
        </w:rPr>
        <w:t xml:space="preserve"> transfera </w:t>
      </w:r>
      <w:r w:rsidR="00776059" w:rsidRPr="004259D0">
        <w:rPr>
          <w:lang w:val="hr-HR"/>
        </w:rPr>
        <w:t>proizlazi iz</w:t>
      </w:r>
      <w:r w:rsidR="00C942A1" w:rsidRPr="004259D0">
        <w:rPr>
          <w:lang w:val="hr-HR"/>
        </w:rPr>
        <w:t xml:space="preserve"> plaćanja po protestiranim jamstvima za Uljanik grupu</w:t>
      </w:r>
      <w:r w:rsidR="00776059" w:rsidRPr="004259D0">
        <w:rPr>
          <w:lang w:val="hr-HR"/>
        </w:rPr>
        <w:t xml:space="preserve"> te</w:t>
      </w:r>
      <w:r w:rsidR="00C942A1" w:rsidRPr="004259D0">
        <w:rPr>
          <w:lang w:val="hr-HR"/>
        </w:rPr>
        <w:t xml:space="preserve"> </w:t>
      </w:r>
      <w:r w:rsidR="00776059" w:rsidRPr="004259D0">
        <w:rPr>
          <w:lang w:val="hr-HR"/>
        </w:rPr>
        <w:t>preuzimanja duga Petrokemije u procesu nje</w:t>
      </w:r>
      <w:r w:rsidR="00A94079" w:rsidRPr="004259D0">
        <w:rPr>
          <w:lang w:val="hr-HR"/>
        </w:rPr>
        <w:t>zi</w:t>
      </w:r>
      <w:r w:rsidR="00776059" w:rsidRPr="004259D0">
        <w:rPr>
          <w:lang w:val="hr-HR"/>
        </w:rPr>
        <w:t>ne privatizacije.</w:t>
      </w:r>
    </w:p>
    <w:p w14:paraId="56160532" w14:textId="2604FDA9" w:rsidR="00CF09B0" w:rsidRPr="004259D0" w:rsidRDefault="00CF09B0" w:rsidP="00CF09B0">
      <w:pPr>
        <w:jc w:val="both"/>
        <w:rPr>
          <w:lang w:val="hr-HR"/>
        </w:rPr>
      </w:pPr>
      <w:r w:rsidRPr="004259D0">
        <w:rPr>
          <w:lang w:val="hr-HR"/>
        </w:rPr>
        <w:t xml:space="preserve">Rashodi za bruto investicije u fiksni kapital izvršeni su na razini od </w:t>
      </w:r>
      <w:r w:rsidR="00D652C2" w:rsidRPr="004259D0">
        <w:rPr>
          <w:lang w:val="hr-HR"/>
        </w:rPr>
        <w:t>3,5</w:t>
      </w:r>
      <w:r w:rsidRPr="004259D0">
        <w:rPr>
          <w:lang w:val="hr-HR"/>
        </w:rPr>
        <w:t xml:space="preserve">% BDP-a te su u odnosu na prethodnu godinu </w:t>
      </w:r>
      <w:r w:rsidR="00693C59" w:rsidRPr="004259D0">
        <w:rPr>
          <w:lang w:val="hr-HR"/>
        </w:rPr>
        <w:t>povećani</w:t>
      </w:r>
      <w:r w:rsidRPr="004259D0">
        <w:rPr>
          <w:lang w:val="hr-HR"/>
        </w:rPr>
        <w:t xml:space="preserve"> za </w:t>
      </w:r>
      <w:r w:rsidR="00693C59" w:rsidRPr="004259D0">
        <w:rPr>
          <w:lang w:val="hr-HR"/>
        </w:rPr>
        <w:t>33,8</w:t>
      </w:r>
      <w:r w:rsidRPr="004259D0">
        <w:rPr>
          <w:lang w:val="hr-HR"/>
        </w:rPr>
        <w:t xml:space="preserve">% </w:t>
      </w:r>
      <w:r w:rsidR="00C31C2D" w:rsidRPr="004259D0">
        <w:rPr>
          <w:lang w:val="hr-HR"/>
        </w:rPr>
        <w:t xml:space="preserve">uslijed značajnog rasta investicija </w:t>
      </w:r>
      <w:r w:rsidR="005034F6" w:rsidRPr="004259D0">
        <w:rPr>
          <w:lang w:val="hr-HR"/>
        </w:rPr>
        <w:t>JLP(R)S</w:t>
      </w:r>
      <w:r w:rsidRPr="004259D0">
        <w:rPr>
          <w:lang w:val="hr-HR"/>
        </w:rPr>
        <w:t xml:space="preserve"> </w:t>
      </w:r>
      <w:r w:rsidR="00776059" w:rsidRPr="004259D0">
        <w:rPr>
          <w:lang w:val="hr-HR"/>
        </w:rPr>
        <w:t>kao i javnih poduzeća u sektoru opće države.</w:t>
      </w:r>
    </w:p>
    <w:p w14:paraId="25D2451B" w14:textId="77777777" w:rsidR="00D12C95" w:rsidRPr="004259D0" w:rsidRDefault="00D12C95" w:rsidP="00E44F72">
      <w:pPr>
        <w:jc w:val="both"/>
        <w:rPr>
          <w:lang w:val="hr-HR"/>
        </w:rPr>
      </w:pPr>
    </w:p>
    <w:p w14:paraId="0EB1D801" w14:textId="77777777" w:rsidR="00FB07E7" w:rsidRPr="004259D0" w:rsidRDefault="00FB07E7" w:rsidP="00E44F72">
      <w:pPr>
        <w:jc w:val="both"/>
        <w:rPr>
          <w:lang w:val="hr-HR"/>
        </w:rPr>
      </w:pPr>
    </w:p>
    <w:p w14:paraId="57B864DF" w14:textId="77777777" w:rsidR="00EC4F00" w:rsidRPr="004259D0" w:rsidRDefault="00C405F5" w:rsidP="008160DF">
      <w:pPr>
        <w:pStyle w:val="Heading2"/>
        <w:numPr>
          <w:ilvl w:val="1"/>
          <w:numId w:val="1"/>
        </w:numPr>
        <w:rPr>
          <w:lang w:val="hr-HR"/>
        </w:rPr>
      </w:pPr>
      <w:bookmarkStart w:id="24" w:name="_Toc6418619"/>
      <w:r w:rsidRPr="004259D0">
        <w:rPr>
          <w:lang w:val="hr-HR"/>
        </w:rPr>
        <w:t>Proračun opće države u 201</w:t>
      </w:r>
      <w:r w:rsidR="00D12C95" w:rsidRPr="004259D0">
        <w:rPr>
          <w:lang w:val="hr-HR"/>
        </w:rPr>
        <w:t>9</w:t>
      </w:r>
      <w:r w:rsidRPr="004259D0">
        <w:rPr>
          <w:lang w:val="hr-HR"/>
        </w:rPr>
        <w:t>. godini</w:t>
      </w:r>
      <w:bookmarkEnd w:id="24"/>
    </w:p>
    <w:p w14:paraId="580295ED" w14:textId="77777777" w:rsidR="00061E7B" w:rsidRPr="004259D0" w:rsidRDefault="00061E7B" w:rsidP="00061E7B">
      <w:pPr>
        <w:rPr>
          <w:lang w:val="hr-HR"/>
        </w:rPr>
      </w:pPr>
    </w:p>
    <w:p w14:paraId="763E99E8" w14:textId="566CBBFE" w:rsidR="00CF09B0" w:rsidRPr="004259D0" w:rsidRDefault="00CF09B0" w:rsidP="00CF09B0">
      <w:pPr>
        <w:spacing w:after="240"/>
        <w:jc w:val="both"/>
        <w:rPr>
          <w:rFonts w:eastAsia="Times New Roman" w:cs="Times New Roman"/>
          <w:lang w:val="hr-HR" w:eastAsia="hr-HR"/>
        </w:rPr>
      </w:pPr>
      <w:r w:rsidRPr="004259D0">
        <w:rPr>
          <w:rFonts w:eastAsia="Times New Roman" w:cs="Times New Roman"/>
          <w:lang w:val="hr-HR" w:eastAsia="hr-HR"/>
        </w:rPr>
        <w:t xml:space="preserve">Fiskalnu politiku </w:t>
      </w:r>
      <w:r w:rsidR="00926184" w:rsidRPr="004259D0">
        <w:rPr>
          <w:rFonts w:eastAsia="Times New Roman" w:cs="Times New Roman"/>
          <w:lang w:val="hr-HR" w:eastAsia="hr-HR"/>
        </w:rPr>
        <w:t>RH</w:t>
      </w:r>
      <w:r w:rsidRPr="004259D0">
        <w:rPr>
          <w:rFonts w:eastAsia="Times New Roman" w:cs="Times New Roman"/>
          <w:lang w:val="hr-HR" w:eastAsia="hr-HR"/>
        </w:rPr>
        <w:t xml:space="preserve"> u srednjoročnom razdoblju određivat će poduzimanje napora kako bi se, u skladu s odredbama Pakta o stabilnosti i rastu, i nadalje jačala fiskalna održivost i ekonomski rast i razvoj te kako bi se osigurala primjerena skrb za sve građane RH. Ključni naglasak će i nadalje biti na reformskim aktivnostima koje se poduzimaju na prihodnoj i na rashodnoj strani proračuna, usmjerenim na ojačavanje dugoročnog potencijala hrvatskog gospodarstva i realnu konvergenciju prema zemljama unutar europodručja te na smanjenje makroekonomskih neravnoteža. Nastavit će se sa strogom kontrolom rashodne strane proračuna, a sav višak prihoda u odnosu na planirane bit će iskorišten za daljnje smanjenje javnog duga.</w:t>
      </w:r>
    </w:p>
    <w:p w14:paraId="5AA3604D" w14:textId="77777777" w:rsidR="00CF09B0" w:rsidRPr="004259D0" w:rsidRDefault="00CF09B0" w:rsidP="00061E7B">
      <w:pPr>
        <w:rPr>
          <w:lang w:val="hr-HR"/>
        </w:rPr>
      </w:pPr>
    </w:p>
    <w:p w14:paraId="48B2501A" w14:textId="77777777" w:rsidR="00F50812" w:rsidRPr="004259D0" w:rsidRDefault="00F50812" w:rsidP="00F50812">
      <w:pPr>
        <w:numPr>
          <w:ilvl w:val="1"/>
          <w:numId w:val="0"/>
        </w:numPr>
        <w:rPr>
          <w:rFonts w:asciiTheme="majorHAnsi" w:eastAsiaTheme="majorEastAsia" w:hAnsiTheme="majorHAnsi" w:cstheme="majorBidi"/>
          <w:i/>
          <w:iCs/>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 xml:space="preserve">Prihodi konsolidirane opće države </w:t>
      </w:r>
    </w:p>
    <w:p w14:paraId="7BB7BF06" w14:textId="762CB1F3" w:rsidR="006D0291" w:rsidRPr="004259D0" w:rsidRDefault="006D0291" w:rsidP="006D0291">
      <w:pPr>
        <w:jc w:val="both"/>
        <w:rPr>
          <w:lang w:val="hr-HR"/>
        </w:rPr>
      </w:pPr>
      <w:r w:rsidRPr="004259D0">
        <w:rPr>
          <w:rFonts w:eastAsia="Times New Roman" w:cs="Times New Roman"/>
          <w:lang w:val="hr-HR" w:eastAsia="hr-HR"/>
        </w:rPr>
        <w:t xml:space="preserve">U 2019. ukupni prihodi proračuna opće države planirani su na razini od </w:t>
      </w:r>
      <w:r w:rsidR="00282081" w:rsidRPr="004259D0">
        <w:rPr>
          <w:rFonts w:eastAsia="Times New Roman" w:cs="Times New Roman"/>
          <w:lang w:val="hr-HR" w:eastAsia="hr-HR"/>
        </w:rPr>
        <w:t>47</w:t>
      </w:r>
      <w:r w:rsidRPr="004259D0">
        <w:rPr>
          <w:rFonts w:eastAsia="Times New Roman" w:cs="Times New Roman"/>
          <w:lang w:val="hr-HR" w:eastAsia="hr-HR"/>
        </w:rPr>
        <w:t>%</w:t>
      </w:r>
      <w:r w:rsidR="00DD6D00" w:rsidRPr="004259D0">
        <w:rPr>
          <w:rFonts w:eastAsia="Times New Roman" w:cs="Times New Roman"/>
          <w:lang w:val="hr-HR" w:eastAsia="hr-HR"/>
        </w:rPr>
        <w:t xml:space="preserve"> BDP-a. T</w:t>
      </w:r>
      <w:r w:rsidRPr="004259D0">
        <w:rPr>
          <w:lang w:val="hr-HR"/>
        </w:rPr>
        <w:t xml:space="preserve">emelje se na očekivanom rastu gospodarske aktivnosti, uzimajući u obzir fiskalne učinke trećeg kruga poreznog rasterećenja i to prvenstveno u sustavu PDV-a, doprinosa </w:t>
      </w:r>
      <w:r w:rsidR="00770A61" w:rsidRPr="004259D0">
        <w:rPr>
          <w:lang w:val="hr-HR"/>
        </w:rPr>
        <w:t>i</w:t>
      </w:r>
      <w:r w:rsidRPr="004259D0">
        <w:rPr>
          <w:lang w:val="hr-HR"/>
        </w:rPr>
        <w:t xml:space="preserve"> trošarina, a koje je stupilo na snagu početkom 2019. godine. </w:t>
      </w:r>
    </w:p>
    <w:p w14:paraId="5FDC7D20" w14:textId="5891DE01" w:rsidR="001F36D8" w:rsidRPr="004259D0" w:rsidRDefault="006D0291" w:rsidP="006D0291">
      <w:pPr>
        <w:spacing w:before="240" w:after="120"/>
        <w:jc w:val="both"/>
        <w:rPr>
          <w:lang w:val="hr-HR"/>
        </w:rPr>
      </w:pPr>
      <w:r w:rsidRPr="004259D0">
        <w:rPr>
          <w:lang w:val="hr-HR"/>
        </w:rPr>
        <w:t xml:space="preserve">Glavna izmjena u sustavu PDV-a, s ciljem smanjenja regresivnog učinka ovog poreza na najosjetljiviju skupinu građana, jest smanjenje stope PDV-a s 25% na 13% za žive životinje, svježe i rashlađeno meso, ribu, voće i povrće, jaja, dječje pelene, a svi lijekovi </w:t>
      </w:r>
      <w:r w:rsidR="00C864DE" w:rsidRPr="004259D0">
        <w:rPr>
          <w:lang w:val="hr-HR"/>
        </w:rPr>
        <w:t xml:space="preserve">oporezuju </w:t>
      </w:r>
      <w:r w:rsidRPr="004259D0">
        <w:rPr>
          <w:lang w:val="hr-HR"/>
        </w:rPr>
        <w:t xml:space="preserve">se stopom od 5%. </w:t>
      </w:r>
      <w:r w:rsidR="00C864DE" w:rsidRPr="004259D0">
        <w:rPr>
          <w:lang w:val="hr-HR"/>
        </w:rPr>
        <w:t>Ukupni fiskalni učinak ovih izmjena procjenjuje se u iznos od 1,5 milijardi kuna ili 0,4% BDP-a. Nadalje, i</w:t>
      </w:r>
      <w:r w:rsidRPr="004259D0">
        <w:rPr>
          <w:lang w:val="hr-HR"/>
        </w:rPr>
        <w:t xml:space="preserve">zmjenama u sustavu posebnih poreza i trošarina predviđen je povrat dijela plaćene trošarine na dizelsko gorivo koje se koristi kod komercijalnog prijevoza roba kamionima određene nosivosti te za komercijalni prijevoz putnika. </w:t>
      </w:r>
      <w:r w:rsidR="00C864DE" w:rsidRPr="004259D0">
        <w:rPr>
          <w:lang w:val="hr-HR"/>
        </w:rPr>
        <w:t xml:space="preserve">Ovom mjerom predviđeno je porezno rasterećenje od 290 milijuna kuna ili 0,1% BDP-a. </w:t>
      </w:r>
      <w:r w:rsidR="001F36D8" w:rsidRPr="004259D0">
        <w:rPr>
          <w:lang w:val="hr-HR"/>
        </w:rPr>
        <w:t>Vezano za trošarine na duhanske proizvode promijenjena je visina trošarina na cigarete u svrhu usklađivanja sa zahtjevima EU zakonodavstva</w:t>
      </w:r>
      <w:r w:rsidR="003E6A64" w:rsidRPr="004259D0">
        <w:rPr>
          <w:lang w:val="hr-HR"/>
        </w:rPr>
        <w:t>, a čiji se fiskalni učinak procjenjuje na 350 milijuna kuna ili 0,1% BDP-a.</w:t>
      </w:r>
    </w:p>
    <w:p w14:paraId="42DB6836" w14:textId="28B915E2" w:rsidR="00C864DE" w:rsidRPr="004259D0" w:rsidRDefault="006D0291" w:rsidP="006D0291">
      <w:pPr>
        <w:spacing w:before="240" w:after="120"/>
        <w:jc w:val="both"/>
        <w:rPr>
          <w:lang w:val="hr-HR"/>
        </w:rPr>
      </w:pPr>
      <w:r w:rsidRPr="004259D0">
        <w:rPr>
          <w:lang w:val="hr-HR"/>
        </w:rPr>
        <w:t>U sustavu doprinosa ukinut je doprinos za obvezno osiguranje u slučaju nezaposlenosti od 1,7% i doprinos za zaštitu zdravlja na radu od 0,5% te</w:t>
      </w:r>
      <w:r w:rsidR="00C864DE" w:rsidRPr="004259D0">
        <w:rPr>
          <w:lang w:val="hr-HR"/>
        </w:rPr>
        <w:t xml:space="preserve"> je</w:t>
      </w:r>
      <w:r w:rsidRPr="004259D0">
        <w:rPr>
          <w:lang w:val="hr-HR"/>
        </w:rPr>
        <w:t xml:space="preserve"> provedeno istovremeno povećanje doprinosa za zdravstveno osiguranje </w:t>
      </w:r>
      <w:r w:rsidR="00C864DE" w:rsidRPr="004259D0">
        <w:rPr>
          <w:lang w:val="hr-HR"/>
        </w:rPr>
        <w:t xml:space="preserve">s 15% </w:t>
      </w:r>
      <w:r w:rsidRPr="004259D0">
        <w:rPr>
          <w:lang w:val="hr-HR"/>
        </w:rPr>
        <w:t>na 16,5%. Time se ukupno izdvajanje poduzetnika na plaću umanj</w:t>
      </w:r>
      <w:r w:rsidR="00C864DE" w:rsidRPr="004259D0">
        <w:rPr>
          <w:lang w:val="hr-HR"/>
        </w:rPr>
        <w:t>ilo</w:t>
      </w:r>
      <w:r w:rsidRPr="004259D0">
        <w:rPr>
          <w:lang w:val="hr-HR"/>
        </w:rPr>
        <w:t xml:space="preserve"> za 0,7 postotnih bodova, što smanjuje troškove poslodavaca</w:t>
      </w:r>
      <w:r w:rsidR="00C864DE" w:rsidRPr="004259D0">
        <w:rPr>
          <w:lang w:val="hr-HR"/>
        </w:rPr>
        <w:t xml:space="preserve"> za 800 milijuna kuna</w:t>
      </w:r>
      <w:r w:rsidR="00A529F1" w:rsidRPr="004259D0">
        <w:rPr>
          <w:lang w:val="hr-HR"/>
        </w:rPr>
        <w:t xml:space="preserve"> ili 0,2% BDP-a</w:t>
      </w:r>
      <w:r w:rsidRPr="004259D0">
        <w:rPr>
          <w:lang w:val="hr-HR"/>
        </w:rPr>
        <w:t xml:space="preserve"> te otvara prostor za povećanje plaća ili nova ulaganja. </w:t>
      </w:r>
    </w:p>
    <w:p w14:paraId="612185E2" w14:textId="5E961EFD" w:rsidR="002B16A1" w:rsidRPr="004259D0" w:rsidRDefault="006D0291" w:rsidP="006D0291">
      <w:pPr>
        <w:spacing w:before="240" w:after="120"/>
        <w:jc w:val="both"/>
        <w:rPr>
          <w:lang w:val="hr-HR"/>
        </w:rPr>
      </w:pPr>
      <w:r w:rsidRPr="004259D0">
        <w:rPr>
          <w:lang w:val="hr-HR"/>
        </w:rPr>
        <w:t>Porez na promet nekretnina smanjen je s 4% na 3%</w:t>
      </w:r>
      <w:r w:rsidR="00571477" w:rsidRPr="004259D0">
        <w:rPr>
          <w:lang w:val="hr-HR"/>
        </w:rPr>
        <w:t>, što bi trebalo potaknuti promet na tržištu nekretnina</w:t>
      </w:r>
      <w:r w:rsidRPr="004259D0">
        <w:rPr>
          <w:lang w:val="hr-HR"/>
        </w:rPr>
        <w:t>.</w:t>
      </w:r>
      <w:r w:rsidR="00571477" w:rsidRPr="004259D0">
        <w:rPr>
          <w:lang w:val="hr-HR"/>
        </w:rPr>
        <w:t xml:space="preserve"> Fiskalni učinak ove mjere procijenjen je na 100 milijuna kuna ili 0,03% BDP-a.</w:t>
      </w:r>
      <w:r w:rsidRPr="004259D0">
        <w:rPr>
          <w:lang w:val="hr-HR"/>
        </w:rPr>
        <w:t xml:space="preserve"> U sustavu poreza na dohodak, povećana je porezna osnovica za primjenu porezne stope od 24% sa 17.5</w:t>
      </w:r>
      <w:r w:rsidR="00571477" w:rsidRPr="004259D0">
        <w:rPr>
          <w:lang w:val="hr-HR"/>
        </w:rPr>
        <w:t xml:space="preserve">00 kuna na 30.000 kuna, čime se pozitivno </w:t>
      </w:r>
      <w:r w:rsidRPr="004259D0">
        <w:rPr>
          <w:lang w:val="hr-HR"/>
        </w:rPr>
        <w:t>utje</w:t>
      </w:r>
      <w:r w:rsidR="00571477" w:rsidRPr="004259D0">
        <w:rPr>
          <w:lang w:val="hr-HR"/>
        </w:rPr>
        <w:t>če</w:t>
      </w:r>
      <w:r w:rsidRPr="004259D0">
        <w:rPr>
          <w:lang w:val="hr-HR"/>
        </w:rPr>
        <w:t xml:space="preserve"> na zadržavanje </w:t>
      </w:r>
      <w:r w:rsidR="00571477" w:rsidRPr="004259D0">
        <w:rPr>
          <w:lang w:val="hr-HR"/>
        </w:rPr>
        <w:t xml:space="preserve">obrazovanih stručnjaka u sektorima s visokom dodanom vrijednošću. </w:t>
      </w:r>
      <w:r w:rsidR="00CD4B04" w:rsidRPr="004259D0">
        <w:rPr>
          <w:lang w:val="hr-HR"/>
        </w:rPr>
        <w:t>Očekivani učinak ove mjere iznosi 210 milijuna kuna ili 0,1% BDP-a.</w:t>
      </w:r>
    </w:p>
    <w:p w14:paraId="74A243AC" w14:textId="1BA76C25" w:rsidR="00BE69FD" w:rsidRPr="004259D0" w:rsidRDefault="00BE69FD" w:rsidP="00BE69FD">
      <w:pPr>
        <w:spacing w:after="0" w:line="240" w:lineRule="auto"/>
        <w:rPr>
          <w:i/>
          <w:lang w:val="hr-HR"/>
        </w:rPr>
      </w:pPr>
      <w:bookmarkStart w:id="25" w:name="_Toc6418637"/>
      <w:r w:rsidRPr="004259D0">
        <w:rPr>
          <w:i/>
          <w:lang w:val="hr-HR"/>
        </w:rPr>
        <w:t xml:space="preserve">Tablica </w:t>
      </w:r>
      <w:r w:rsidRPr="004259D0">
        <w:rPr>
          <w:i/>
          <w:lang w:val="hr-HR"/>
        </w:rPr>
        <w:fldChar w:fldCharType="begin"/>
      </w:r>
      <w:r w:rsidRPr="004259D0">
        <w:rPr>
          <w:i/>
          <w:lang w:val="hr-HR"/>
        </w:rPr>
        <w:instrText xml:space="preserve"> STYLEREF 1 \s </w:instrText>
      </w:r>
      <w:r w:rsidRPr="004259D0">
        <w:rPr>
          <w:i/>
          <w:lang w:val="hr-HR"/>
        </w:rPr>
        <w:fldChar w:fldCharType="separate"/>
      </w:r>
      <w:r w:rsidR="00572AFD">
        <w:rPr>
          <w:i/>
          <w:noProof/>
          <w:lang w:val="hr-HR"/>
        </w:rPr>
        <w:t>3</w:t>
      </w:r>
      <w:r w:rsidRPr="004259D0">
        <w:rPr>
          <w:i/>
          <w:lang w:val="hr-HR"/>
        </w:rPr>
        <w:fldChar w:fldCharType="end"/>
      </w:r>
      <w:r w:rsidRPr="004259D0">
        <w:rPr>
          <w:i/>
          <w:lang w:val="hr-HR"/>
        </w:rPr>
        <w:t>.</w:t>
      </w:r>
      <w:r w:rsidRPr="004259D0">
        <w:rPr>
          <w:i/>
          <w:lang w:val="hr-HR"/>
        </w:rPr>
        <w:fldChar w:fldCharType="begin"/>
      </w:r>
      <w:r w:rsidRPr="004259D0">
        <w:rPr>
          <w:i/>
          <w:lang w:val="hr-HR"/>
        </w:rPr>
        <w:instrText xml:space="preserve"> SEQ Tablica \* ARABIC \s 1 </w:instrText>
      </w:r>
      <w:r w:rsidRPr="004259D0">
        <w:rPr>
          <w:i/>
          <w:lang w:val="hr-HR"/>
        </w:rPr>
        <w:fldChar w:fldCharType="separate"/>
      </w:r>
      <w:r w:rsidR="00572AFD">
        <w:rPr>
          <w:i/>
          <w:noProof/>
          <w:lang w:val="hr-HR"/>
        </w:rPr>
        <w:t>1</w:t>
      </w:r>
      <w:r w:rsidRPr="004259D0">
        <w:rPr>
          <w:i/>
          <w:lang w:val="hr-HR"/>
        </w:rPr>
        <w:fldChar w:fldCharType="end"/>
      </w:r>
      <w:r w:rsidRPr="004259D0">
        <w:rPr>
          <w:i/>
          <w:lang w:val="hr-HR"/>
        </w:rPr>
        <w:t>. Diskrecijske prihodne mjere</w:t>
      </w:r>
      <w:bookmarkEnd w:id="25"/>
    </w:p>
    <w:p w14:paraId="5543C30F" w14:textId="62AF968B" w:rsidR="00BE69FD" w:rsidRPr="004259D0" w:rsidRDefault="00715672" w:rsidP="00BE69FD">
      <w:pPr>
        <w:spacing w:after="120"/>
        <w:jc w:val="both"/>
        <w:rPr>
          <w:rFonts w:eastAsia="Times New Roman" w:cs="Times New Roman"/>
          <w:lang w:val="hr-HR" w:eastAsia="hr-HR"/>
        </w:rPr>
      </w:pPr>
      <w:r w:rsidRPr="004259D0">
        <w:rPr>
          <w:noProof/>
          <w:lang w:val="hr-HR" w:eastAsia="hr-HR"/>
        </w:rPr>
        <w:drawing>
          <wp:inline distT="0" distB="0" distL="0" distR="0" wp14:anchorId="6100BC78" wp14:editId="2B5A25BE">
            <wp:extent cx="5760720" cy="2409197"/>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409197"/>
                    </a:xfrm>
                    <a:prstGeom prst="rect">
                      <a:avLst/>
                    </a:prstGeom>
                    <a:noFill/>
                    <a:ln>
                      <a:noFill/>
                    </a:ln>
                  </pic:spPr>
                </pic:pic>
              </a:graphicData>
            </a:graphic>
          </wp:inline>
        </w:drawing>
      </w:r>
    </w:p>
    <w:p w14:paraId="4092CF47" w14:textId="5B26BEF1" w:rsidR="00A17D13" w:rsidRPr="004259D0" w:rsidRDefault="00A17D13" w:rsidP="00A17D13">
      <w:pPr>
        <w:jc w:val="both"/>
        <w:rPr>
          <w:i/>
          <w:sz w:val="20"/>
          <w:lang w:val="hr-HR"/>
        </w:rPr>
      </w:pPr>
      <w:r w:rsidRPr="004259D0">
        <w:rPr>
          <w:i/>
          <w:sz w:val="20"/>
          <w:lang w:val="hr-HR"/>
        </w:rPr>
        <w:t>Izvor: Ministarstvo financija</w:t>
      </w:r>
    </w:p>
    <w:p w14:paraId="6881E98F" w14:textId="7D9FEE99" w:rsidR="001F36D8" w:rsidRPr="004259D0" w:rsidRDefault="006D0291" w:rsidP="001F36D8">
      <w:pPr>
        <w:spacing w:before="240" w:after="120"/>
        <w:jc w:val="both"/>
        <w:rPr>
          <w:lang w:val="hr-HR"/>
        </w:rPr>
      </w:pPr>
      <w:r w:rsidRPr="004259D0">
        <w:rPr>
          <w:rFonts w:eastAsia="Times New Roman" w:cs="Times New Roman"/>
          <w:lang w:val="hr-HR" w:eastAsia="hr-HR"/>
        </w:rPr>
        <w:t xml:space="preserve">Porezi na proizvodnju i uvoz čine najznačajniju kategoriju ukupnih prihoda. Projicirani su na razini od </w:t>
      </w:r>
      <w:r w:rsidR="00C40331" w:rsidRPr="004259D0">
        <w:rPr>
          <w:rFonts w:eastAsia="Times New Roman" w:cs="Times New Roman"/>
          <w:lang w:val="hr-HR" w:eastAsia="hr-HR"/>
        </w:rPr>
        <w:t>19,8</w:t>
      </w:r>
      <w:r w:rsidRPr="004259D0">
        <w:rPr>
          <w:rFonts w:eastAsia="Times New Roman" w:cs="Times New Roman"/>
          <w:lang w:val="hr-HR" w:eastAsia="hr-HR"/>
        </w:rPr>
        <w:t xml:space="preserve">% BDP-a. Pritom je prihod od poreza na dodanu vrijednost projiciran u iznosu od </w:t>
      </w:r>
      <w:r w:rsidR="00C40331" w:rsidRPr="004259D0">
        <w:rPr>
          <w:rFonts w:eastAsia="Times New Roman" w:cs="Times New Roman"/>
          <w:lang w:val="hr-HR" w:eastAsia="hr-HR"/>
        </w:rPr>
        <w:t>13,</w:t>
      </w:r>
      <w:r w:rsidR="00BC664D" w:rsidRPr="004259D0">
        <w:rPr>
          <w:rFonts w:eastAsia="Times New Roman" w:cs="Times New Roman"/>
          <w:lang w:val="hr-HR" w:eastAsia="hr-HR"/>
        </w:rPr>
        <w:t>3</w:t>
      </w:r>
      <w:r w:rsidRPr="004259D0">
        <w:rPr>
          <w:rFonts w:eastAsia="Times New Roman" w:cs="Times New Roman"/>
          <w:lang w:val="hr-HR" w:eastAsia="hr-HR"/>
        </w:rPr>
        <w:t xml:space="preserve">% BDP-a na temelju </w:t>
      </w:r>
      <w:r w:rsidR="00021DCC" w:rsidRPr="004259D0">
        <w:rPr>
          <w:rFonts w:eastAsia="Times New Roman" w:cs="Times New Roman"/>
          <w:lang w:val="hr-HR" w:eastAsia="hr-HR"/>
        </w:rPr>
        <w:t xml:space="preserve">makroekonomskih projekcija koje uključuju rast osobne potrošnje, turističkih usluga, ali i rashoda države za intermedijarnu potrošnju, investicije te socijalne transfere u naravi. Osim toga, u izračun su uzeti </w:t>
      </w:r>
      <w:r w:rsidR="00770A61" w:rsidRPr="004259D0">
        <w:rPr>
          <w:rFonts w:eastAsia="Times New Roman" w:cs="Times New Roman"/>
          <w:lang w:val="hr-HR" w:eastAsia="hr-HR"/>
        </w:rPr>
        <w:t>i</w:t>
      </w:r>
      <w:r w:rsidR="00021DCC" w:rsidRPr="004259D0">
        <w:rPr>
          <w:rFonts w:eastAsia="Times New Roman" w:cs="Times New Roman"/>
          <w:lang w:val="hr-HR" w:eastAsia="hr-HR"/>
        </w:rPr>
        <w:t xml:space="preserve"> učinci pre</w:t>
      </w:r>
      <w:r w:rsidRPr="004259D0">
        <w:rPr>
          <w:rFonts w:eastAsia="Times New Roman" w:cs="Times New Roman"/>
          <w:lang w:val="hr-HR" w:eastAsia="hr-HR"/>
        </w:rPr>
        <w:t>thodno navedenih poreznih izmjena.</w:t>
      </w:r>
      <w:r w:rsidRPr="004259D0">
        <w:rPr>
          <w:lang w:val="hr-HR"/>
        </w:rPr>
        <w:t xml:space="preserve"> </w:t>
      </w:r>
      <w:r w:rsidRPr="004259D0">
        <w:rPr>
          <w:rFonts w:eastAsia="Times New Roman" w:cs="Times New Roman"/>
          <w:lang w:val="hr-HR" w:eastAsia="hr-HR"/>
        </w:rPr>
        <w:t xml:space="preserve">U kategoriju poreza na proizvodnju i uvoz, osim PDV-a uključeni su i očekivani prihodi od trošarina, carina te ostalih poreza na potrošnju. Prihodi od trošarina iznose </w:t>
      </w:r>
      <w:r w:rsidR="003B4F3C" w:rsidRPr="004259D0">
        <w:rPr>
          <w:rFonts w:eastAsia="Times New Roman" w:cs="Times New Roman"/>
          <w:lang w:val="hr-HR" w:eastAsia="hr-HR"/>
        </w:rPr>
        <w:t>4,</w:t>
      </w:r>
      <w:r w:rsidR="00BC664D" w:rsidRPr="004259D0">
        <w:rPr>
          <w:rFonts w:eastAsia="Times New Roman" w:cs="Times New Roman"/>
          <w:lang w:val="hr-HR" w:eastAsia="hr-HR"/>
        </w:rPr>
        <w:t>6</w:t>
      </w:r>
      <w:r w:rsidRPr="004259D0">
        <w:rPr>
          <w:rFonts w:eastAsia="Times New Roman" w:cs="Times New Roman"/>
          <w:lang w:val="hr-HR" w:eastAsia="hr-HR"/>
        </w:rPr>
        <w:t>% BDP-a, a uključuju očekivano kretanje potrošnje trošarinskih proizvoda</w:t>
      </w:r>
      <w:r w:rsidRPr="004259D0">
        <w:rPr>
          <w:lang w:val="hr-HR"/>
        </w:rPr>
        <w:t xml:space="preserve">, te učinke izmjena propisa u trošarinskom sustavu, odnosno kod trošarina na energente i električnu energiju te trošarina na duhan. </w:t>
      </w:r>
    </w:p>
    <w:p w14:paraId="4B5AC31D" w14:textId="432A113A" w:rsidR="006D0291" w:rsidRPr="004259D0" w:rsidRDefault="006D0291" w:rsidP="006D0291">
      <w:pPr>
        <w:spacing w:after="240"/>
        <w:jc w:val="both"/>
        <w:rPr>
          <w:rFonts w:eastAsia="Times New Roman" w:cs="Times New Roman"/>
          <w:lang w:val="hr-HR" w:eastAsia="hr-HR"/>
        </w:rPr>
      </w:pPr>
      <w:r w:rsidRPr="004259D0">
        <w:rPr>
          <w:rFonts w:eastAsia="Times New Roman" w:cs="Times New Roman"/>
          <w:lang w:val="hr-HR" w:eastAsia="hr-HR"/>
        </w:rPr>
        <w:t xml:space="preserve">Drugu najznačajniju skupinu prihoda proračuna opće države čine socijalni doprinosi, koji su projicirani na razini od </w:t>
      </w:r>
      <w:r w:rsidR="003B4F3C" w:rsidRPr="004259D0">
        <w:rPr>
          <w:rFonts w:eastAsia="Times New Roman" w:cs="Times New Roman"/>
          <w:lang w:val="hr-HR" w:eastAsia="hr-HR"/>
        </w:rPr>
        <w:t>11,9</w:t>
      </w:r>
      <w:r w:rsidRPr="004259D0">
        <w:rPr>
          <w:rFonts w:eastAsia="Times New Roman" w:cs="Times New Roman"/>
          <w:lang w:val="hr-HR" w:eastAsia="hr-HR"/>
        </w:rPr>
        <w:t xml:space="preserve">% BDP-a. Njihova dinamika određena je kretanjem na tržištu rada, uzevši u obzir i ranije navedene zakonske izmjene </w:t>
      </w:r>
      <w:r w:rsidR="002745EF" w:rsidRPr="004259D0">
        <w:rPr>
          <w:rFonts w:eastAsia="Times New Roman" w:cs="Times New Roman"/>
          <w:lang w:val="hr-HR" w:eastAsia="hr-HR"/>
        </w:rPr>
        <w:t>koje su stupile na snagu početkom 2019. godine</w:t>
      </w:r>
      <w:r w:rsidRPr="004259D0">
        <w:rPr>
          <w:rFonts w:eastAsia="Times New Roman" w:cs="Times New Roman"/>
          <w:lang w:val="hr-HR" w:eastAsia="hr-HR"/>
        </w:rPr>
        <w:t xml:space="preserve">. </w:t>
      </w:r>
    </w:p>
    <w:p w14:paraId="73FC1117" w14:textId="4F4F5C7A" w:rsidR="006D0291" w:rsidRPr="004259D0" w:rsidRDefault="006D0291" w:rsidP="006D0291">
      <w:pPr>
        <w:spacing w:after="240"/>
        <w:jc w:val="both"/>
        <w:rPr>
          <w:rFonts w:eastAsia="Times New Roman" w:cs="Times New Roman"/>
          <w:lang w:val="hr-HR" w:eastAsia="hr-HR"/>
        </w:rPr>
      </w:pPr>
      <w:r w:rsidRPr="004259D0">
        <w:rPr>
          <w:rFonts w:eastAsia="Times New Roman" w:cs="Times New Roman"/>
          <w:lang w:val="hr-HR" w:eastAsia="hr-HR"/>
        </w:rPr>
        <w:t xml:space="preserve">Procijenjeni prihodi od tekućih poreza na dohodak i bogatstvo bilježit će razinu od </w:t>
      </w:r>
      <w:r w:rsidR="003B4F3C" w:rsidRPr="004259D0">
        <w:rPr>
          <w:rFonts w:eastAsia="Times New Roman" w:cs="Times New Roman"/>
          <w:lang w:val="hr-HR" w:eastAsia="hr-HR"/>
        </w:rPr>
        <w:t>6,5</w:t>
      </w:r>
      <w:r w:rsidRPr="004259D0">
        <w:rPr>
          <w:rFonts w:eastAsia="Times New Roman" w:cs="Times New Roman"/>
          <w:lang w:val="hr-HR" w:eastAsia="hr-HR"/>
        </w:rPr>
        <w:t xml:space="preserve">% BDP-a. Pritom je prihod od poreza na dohodak planiran na temelju očekivanog kretanja na tržištu rada, </w:t>
      </w:r>
      <w:r w:rsidR="00B17BAB" w:rsidRPr="004259D0">
        <w:rPr>
          <w:rFonts w:eastAsia="Times New Roman" w:cs="Times New Roman"/>
          <w:lang w:val="hr-HR" w:eastAsia="hr-HR"/>
        </w:rPr>
        <w:t>uključujući i učinke</w:t>
      </w:r>
      <w:r w:rsidRPr="004259D0">
        <w:rPr>
          <w:rFonts w:eastAsia="Times New Roman" w:cs="Times New Roman"/>
          <w:lang w:val="hr-HR" w:eastAsia="hr-HR"/>
        </w:rPr>
        <w:t xml:space="preserve"> </w:t>
      </w:r>
      <w:r w:rsidR="00B17BAB" w:rsidRPr="004259D0">
        <w:rPr>
          <w:rFonts w:eastAsia="Times New Roman" w:cs="Times New Roman"/>
          <w:lang w:val="hr-HR" w:eastAsia="hr-HR"/>
        </w:rPr>
        <w:t>spomenute</w:t>
      </w:r>
      <w:r w:rsidRPr="004259D0">
        <w:rPr>
          <w:rFonts w:eastAsia="Times New Roman" w:cs="Times New Roman"/>
          <w:lang w:val="hr-HR" w:eastAsia="hr-HR"/>
        </w:rPr>
        <w:t xml:space="preserve"> zakonske izmjene. Prihod od poreza na dobit u tekućoj godini plaća se na temelju poslovanja poduzetnika prethodne godine te je izrađen temeljem procjene poslovanja poduzeća i banaka u 2018. godini. </w:t>
      </w:r>
    </w:p>
    <w:p w14:paraId="28288C3A" w14:textId="7836A3B4" w:rsidR="006D0291" w:rsidRDefault="006D0291" w:rsidP="006D0291">
      <w:pPr>
        <w:spacing w:after="240"/>
        <w:jc w:val="both"/>
        <w:rPr>
          <w:rFonts w:eastAsia="Times New Roman" w:cs="Times New Roman"/>
          <w:lang w:val="hr-HR" w:eastAsia="hr-HR"/>
        </w:rPr>
      </w:pPr>
      <w:r w:rsidRPr="004259D0">
        <w:rPr>
          <w:rFonts w:eastAsia="Times New Roman" w:cs="Times New Roman"/>
          <w:lang w:val="hr-HR" w:eastAsia="hr-HR"/>
        </w:rPr>
        <w:t xml:space="preserve">U kategorije ostalih tekućih i kapitalnih transfera, koji su projicirani na razini od </w:t>
      </w:r>
      <w:r w:rsidR="00BC664D" w:rsidRPr="004259D0">
        <w:rPr>
          <w:rFonts w:eastAsia="Times New Roman" w:cs="Times New Roman"/>
          <w:lang w:val="hr-HR" w:eastAsia="hr-HR"/>
        </w:rPr>
        <w:t>3,3</w:t>
      </w:r>
      <w:r w:rsidRPr="004259D0">
        <w:rPr>
          <w:rFonts w:eastAsia="Times New Roman" w:cs="Times New Roman"/>
          <w:lang w:val="hr-HR" w:eastAsia="hr-HR"/>
        </w:rPr>
        <w:t>% BDP-a</w:t>
      </w:r>
      <w:r w:rsidR="00EF4F0A" w:rsidRPr="004259D0">
        <w:rPr>
          <w:rFonts w:eastAsia="Times New Roman" w:cs="Times New Roman"/>
          <w:lang w:val="hr-HR" w:eastAsia="hr-HR"/>
        </w:rPr>
        <w:t xml:space="preserve"> i rastu za </w:t>
      </w:r>
      <w:r w:rsidR="00BC664D" w:rsidRPr="004259D0">
        <w:rPr>
          <w:rFonts w:eastAsia="Times New Roman" w:cs="Times New Roman"/>
          <w:lang w:val="hr-HR" w:eastAsia="hr-HR"/>
        </w:rPr>
        <w:t>24,2</w:t>
      </w:r>
      <w:r w:rsidR="00EF4F0A" w:rsidRPr="004259D0">
        <w:rPr>
          <w:rFonts w:eastAsia="Times New Roman" w:cs="Times New Roman"/>
          <w:lang w:val="hr-HR" w:eastAsia="hr-HR"/>
        </w:rPr>
        <w:t>%</w:t>
      </w:r>
      <w:r w:rsidRPr="004259D0">
        <w:rPr>
          <w:rFonts w:eastAsia="Times New Roman" w:cs="Times New Roman"/>
          <w:lang w:val="hr-HR" w:eastAsia="hr-HR"/>
        </w:rPr>
        <w:t>, ubrajaju se i prihodi od pomoći institucija i tijela EU, koji su izravno vezani uz proj</w:t>
      </w:r>
      <w:r w:rsidR="00EF4F0A" w:rsidRPr="004259D0">
        <w:rPr>
          <w:rFonts w:eastAsia="Times New Roman" w:cs="Times New Roman"/>
          <w:lang w:val="hr-HR" w:eastAsia="hr-HR"/>
        </w:rPr>
        <w:t xml:space="preserve">ekte financirane iz EU fondova. </w:t>
      </w:r>
    </w:p>
    <w:p w14:paraId="36AD85C2" w14:textId="77777777" w:rsidR="002B6A4C" w:rsidRPr="004259D0" w:rsidRDefault="002B6A4C" w:rsidP="006D0291">
      <w:pPr>
        <w:spacing w:after="240"/>
        <w:jc w:val="both"/>
        <w:rPr>
          <w:rFonts w:eastAsia="Times New Roman" w:cs="Times New Roman"/>
          <w:lang w:val="hr-HR" w:eastAsia="hr-HR"/>
        </w:rPr>
      </w:pPr>
    </w:p>
    <w:p w14:paraId="0F438F3C" w14:textId="77777777" w:rsidR="00C405F5" w:rsidRPr="004259D0" w:rsidRDefault="00C405F5" w:rsidP="00C405F5">
      <w:pPr>
        <w:pStyle w:val="Subtitle"/>
        <w:rPr>
          <w:color w:val="auto"/>
          <w:lang w:val="hr-HR"/>
        </w:rPr>
      </w:pPr>
      <w:r w:rsidRPr="004259D0">
        <w:rPr>
          <w:lang w:val="hr-HR"/>
        </w:rPr>
        <w:t>Rashodi konsolidirane opće države</w:t>
      </w:r>
      <w:r w:rsidR="003C3959" w:rsidRPr="004259D0">
        <w:rPr>
          <w:lang w:val="hr-HR"/>
        </w:rPr>
        <w:t xml:space="preserve"> </w:t>
      </w:r>
    </w:p>
    <w:p w14:paraId="2DDAA6F9" w14:textId="61492C9B" w:rsidR="00CF09B0" w:rsidRPr="004259D0" w:rsidRDefault="00CF09B0" w:rsidP="00CF09B0">
      <w:pPr>
        <w:spacing w:after="240"/>
        <w:jc w:val="both"/>
        <w:rPr>
          <w:lang w:val="hr-HR"/>
        </w:rPr>
      </w:pPr>
      <w:r w:rsidRPr="004259D0">
        <w:rPr>
          <w:lang w:val="hr-HR"/>
        </w:rPr>
        <w:t xml:space="preserve">Ukupni rashodi proračuna opće države planirani su na razini od </w:t>
      </w:r>
      <w:r w:rsidR="00B15848" w:rsidRPr="004259D0">
        <w:rPr>
          <w:lang w:val="hr-HR"/>
        </w:rPr>
        <w:t>47,3</w:t>
      </w:r>
      <w:r w:rsidRPr="004259D0">
        <w:rPr>
          <w:lang w:val="hr-HR"/>
        </w:rPr>
        <w:t>% BDP-a u 2019. godini.</w:t>
      </w:r>
    </w:p>
    <w:p w14:paraId="31E819E6" w14:textId="7C7D1F59" w:rsidR="00CF09B0" w:rsidRPr="004259D0" w:rsidRDefault="00CF09B0" w:rsidP="00CF09B0">
      <w:pPr>
        <w:spacing w:after="240"/>
        <w:jc w:val="both"/>
        <w:rPr>
          <w:lang w:val="hr-HR"/>
        </w:rPr>
      </w:pPr>
      <w:r w:rsidRPr="004259D0">
        <w:rPr>
          <w:lang w:val="hr-HR"/>
        </w:rPr>
        <w:t xml:space="preserve">Naknade zaposlenima projicirane su na razini od </w:t>
      </w:r>
      <w:r w:rsidR="004C4A8D" w:rsidRPr="004259D0">
        <w:rPr>
          <w:lang w:val="hr-HR"/>
        </w:rPr>
        <w:t>11,7</w:t>
      </w:r>
      <w:r w:rsidRPr="004259D0">
        <w:rPr>
          <w:lang w:val="hr-HR"/>
        </w:rPr>
        <w:t xml:space="preserve">% BDP-a na temelju očekivanog kretanja razine broja zaposlenih državnih i javnih službenika te prava koja proizlaze iz kolektivnih ugovora. </w:t>
      </w:r>
      <w:r w:rsidR="0012669A" w:rsidRPr="004259D0">
        <w:rPr>
          <w:lang w:val="hr-HR"/>
        </w:rPr>
        <w:t>Važno je istaknuti kako se</w:t>
      </w:r>
      <w:r w:rsidRPr="004259D0">
        <w:rPr>
          <w:lang w:val="hr-HR"/>
        </w:rPr>
        <w:t xml:space="preserve"> u 2019. godini </w:t>
      </w:r>
      <w:r w:rsidR="0012669A" w:rsidRPr="004259D0">
        <w:rPr>
          <w:lang w:val="hr-HR"/>
        </w:rPr>
        <w:t xml:space="preserve">povećava </w:t>
      </w:r>
      <w:r w:rsidRPr="004259D0">
        <w:rPr>
          <w:lang w:val="hr-HR"/>
        </w:rPr>
        <w:t>osnovic</w:t>
      </w:r>
      <w:r w:rsidR="0012669A" w:rsidRPr="004259D0">
        <w:rPr>
          <w:lang w:val="hr-HR"/>
        </w:rPr>
        <w:t>a</w:t>
      </w:r>
      <w:r w:rsidRPr="004259D0">
        <w:rPr>
          <w:lang w:val="hr-HR"/>
        </w:rPr>
        <w:t xml:space="preserve"> za </w:t>
      </w:r>
      <w:r w:rsidR="0012669A" w:rsidRPr="004259D0">
        <w:rPr>
          <w:lang w:val="hr-HR"/>
        </w:rPr>
        <w:t xml:space="preserve">izračun plaća za </w:t>
      </w:r>
      <w:r w:rsidRPr="004259D0">
        <w:rPr>
          <w:lang w:val="hr-HR"/>
        </w:rPr>
        <w:t>5% temeljem kolektivnih ugovora za državne i javne službenike (3% od siječn</w:t>
      </w:r>
      <w:r w:rsidR="0012669A" w:rsidRPr="004259D0">
        <w:rPr>
          <w:lang w:val="hr-HR"/>
        </w:rPr>
        <w:t>ja i 2% od rujna 2019. godine). Osim toga</w:t>
      </w:r>
      <w:r w:rsidRPr="004259D0">
        <w:rPr>
          <w:lang w:val="hr-HR"/>
        </w:rPr>
        <w:t xml:space="preserve">, dinamika kretanja naknada zaposlenima određena je i isplatom dodatka za minuli rad od 0,5%. Dodatno, u ovoj kategoriji rashoda uključeno je i povećanje izdvajanja u svrhu predsjedanja RH Vijećem EU koje RH preuzima od 1. siječnja 2020., </w:t>
      </w:r>
      <w:r w:rsidR="0012669A" w:rsidRPr="004259D0">
        <w:rPr>
          <w:lang w:val="hr-HR"/>
        </w:rPr>
        <w:t xml:space="preserve">a </w:t>
      </w:r>
      <w:r w:rsidRPr="004259D0">
        <w:rPr>
          <w:lang w:val="hr-HR"/>
        </w:rPr>
        <w:t xml:space="preserve">za koje će određeni broj djelatnika već u 2019. godini biti raspoređen u Stalno predstavništvo RH u Bruxellesu. </w:t>
      </w:r>
    </w:p>
    <w:p w14:paraId="30366845" w14:textId="74672A86" w:rsidR="00CF09B0" w:rsidRPr="004259D0" w:rsidRDefault="00CF09B0" w:rsidP="00CF09B0">
      <w:pPr>
        <w:spacing w:after="240"/>
        <w:jc w:val="both"/>
        <w:rPr>
          <w:lang w:val="hr-HR"/>
        </w:rPr>
      </w:pPr>
      <w:r w:rsidRPr="004259D0">
        <w:rPr>
          <w:lang w:val="hr-HR"/>
        </w:rPr>
        <w:t xml:space="preserve">Rashodi za intermedijarnu potrošnju planirani su na razini od </w:t>
      </w:r>
      <w:r w:rsidR="00B15848" w:rsidRPr="004259D0">
        <w:rPr>
          <w:lang w:val="hr-HR"/>
        </w:rPr>
        <w:t>8,4</w:t>
      </w:r>
      <w:r w:rsidRPr="004259D0">
        <w:rPr>
          <w:lang w:val="hr-HR"/>
        </w:rPr>
        <w:t xml:space="preserve">% BDP-a. Porast ove kategorije rashoda u odnosu na 2018. godinu ponajprije </w:t>
      </w:r>
      <w:r w:rsidR="00AA612D" w:rsidRPr="004259D0">
        <w:rPr>
          <w:lang w:val="hr-HR"/>
        </w:rPr>
        <w:t>proizlazi iz</w:t>
      </w:r>
      <w:r w:rsidRPr="004259D0">
        <w:rPr>
          <w:lang w:val="hr-HR"/>
        </w:rPr>
        <w:t xml:space="preserve"> kretanja materijalne potrošnje </w:t>
      </w:r>
      <w:r w:rsidR="00AA612D" w:rsidRPr="004259D0">
        <w:rPr>
          <w:lang w:val="hr-HR"/>
        </w:rPr>
        <w:t xml:space="preserve">svih </w:t>
      </w:r>
      <w:r w:rsidRPr="004259D0">
        <w:rPr>
          <w:lang w:val="hr-HR"/>
        </w:rPr>
        <w:t xml:space="preserve">jedinica sektora opće države, pri čemu se očekuju povećana izdvajanja za lijekove te potrošni i sanitetski materijal zdravstvenih ustanova uslijed očekivanog rasta prihoda HZZO-a. Isto tako, u ovu kategoriju rashoda uključeno je i povećanje troškova </w:t>
      </w:r>
      <w:r w:rsidR="00877726" w:rsidRPr="004259D0">
        <w:rPr>
          <w:lang w:val="hr-HR"/>
        </w:rPr>
        <w:t xml:space="preserve">u svrhu </w:t>
      </w:r>
      <w:r w:rsidR="004E2687" w:rsidRPr="004259D0">
        <w:rPr>
          <w:lang w:val="hr-HR"/>
        </w:rPr>
        <w:t xml:space="preserve">predsjedavanja </w:t>
      </w:r>
      <w:r w:rsidR="00AA612D" w:rsidRPr="004259D0">
        <w:rPr>
          <w:lang w:val="hr-HR"/>
        </w:rPr>
        <w:t xml:space="preserve">RH </w:t>
      </w:r>
      <w:r w:rsidR="004E2687" w:rsidRPr="004259D0">
        <w:rPr>
          <w:lang w:val="hr-HR"/>
        </w:rPr>
        <w:t>Vijećem EU</w:t>
      </w:r>
      <w:r w:rsidR="00877726" w:rsidRPr="004259D0">
        <w:rPr>
          <w:lang w:val="hr-HR"/>
        </w:rPr>
        <w:t>.</w:t>
      </w:r>
      <w:r w:rsidR="004E2687" w:rsidRPr="004259D0">
        <w:rPr>
          <w:lang w:val="hr-HR"/>
        </w:rPr>
        <w:t xml:space="preserve"> </w:t>
      </w:r>
    </w:p>
    <w:p w14:paraId="324ADF22" w14:textId="1C47F732" w:rsidR="00CF09B0" w:rsidRPr="004259D0" w:rsidRDefault="00CF09B0" w:rsidP="00CF09B0">
      <w:pPr>
        <w:spacing w:after="240"/>
        <w:jc w:val="both"/>
        <w:rPr>
          <w:lang w:val="hr-HR"/>
        </w:rPr>
      </w:pPr>
      <w:r w:rsidRPr="004259D0">
        <w:rPr>
          <w:lang w:val="hr-HR"/>
        </w:rPr>
        <w:t xml:space="preserve">Rashodi za subvencije u 2019. godini </w:t>
      </w:r>
      <w:r w:rsidR="00AA612D" w:rsidRPr="004259D0">
        <w:rPr>
          <w:lang w:val="hr-HR"/>
        </w:rPr>
        <w:t>projicirani su</w:t>
      </w:r>
      <w:r w:rsidRPr="004259D0">
        <w:rPr>
          <w:lang w:val="hr-HR"/>
        </w:rPr>
        <w:t xml:space="preserve"> na razini od </w:t>
      </w:r>
      <w:r w:rsidR="00B15848" w:rsidRPr="004259D0">
        <w:rPr>
          <w:lang w:val="hr-HR"/>
        </w:rPr>
        <w:t>1,7</w:t>
      </w:r>
      <w:r w:rsidRPr="004259D0">
        <w:rPr>
          <w:lang w:val="hr-HR"/>
        </w:rPr>
        <w:t>% BDP-a. Z</w:t>
      </w:r>
      <w:r w:rsidR="004D75B0" w:rsidRPr="004259D0">
        <w:rPr>
          <w:lang w:val="hr-HR"/>
        </w:rPr>
        <w:t xml:space="preserve">načajan dio subvencija od 0,6% BDP-a </w:t>
      </w:r>
      <w:r w:rsidR="00877726" w:rsidRPr="004259D0">
        <w:rPr>
          <w:lang w:val="hr-HR"/>
        </w:rPr>
        <w:t xml:space="preserve">u ovoj kategoriji </w:t>
      </w:r>
      <w:r w:rsidRPr="004259D0">
        <w:rPr>
          <w:lang w:val="hr-HR"/>
        </w:rPr>
        <w:t xml:space="preserve">odnosi se na </w:t>
      </w:r>
      <w:r w:rsidR="00877726" w:rsidRPr="004259D0">
        <w:rPr>
          <w:lang w:val="hr-HR"/>
        </w:rPr>
        <w:t xml:space="preserve">subvencije HROTE-a za proizvođače energije iz obnovljivih izvora koji se financiraju iz naknade za poticanje električne energije iz obnovljivih izvora. </w:t>
      </w:r>
      <w:r w:rsidR="004D75B0" w:rsidRPr="004259D0">
        <w:rPr>
          <w:lang w:val="hr-HR"/>
        </w:rPr>
        <w:t>Također, u ovu kategoriju uključene su i subvencije u</w:t>
      </w:r>
      <w:r w:rsidR="00877726" w:rsidRPr="004259D0">
        <w:rPr>
          <w:lang w:val="hr-HR"/>
        </w:rPr>
        <w:t xml:space="preserve"> poljoprivredi koj</w:t>
      </w:r>
      <w:r w:rsidR="004D75B0" w:rsidRPr="004259D0">
        <w:rPr>
          <w:lang w:val="hr-HR"/>
        </w:rPr>
        <w:t>e</w:t>
      </w:r>
      <w:r w:rsidR="00877726" w:rsidRPr="004259D0">
        <w:rPr>
          <w:lang w:val="hr-HR"/>
        </w:rPr>
        <w:t xml:space="preserve"> se financiraju iz nacionalnih sredstava, </w:t>
      </w:r>
      <w:r w:rsidRPr="004259D0">
        <w:rPr>
          <w:lang w:val="hr-HR"/>
        </w:rPr>
        <w:t>ugovor</w:t>
      </w:r>
      <w:r w:rsidR="004D75B0" w:rsidRPr="004259D0">
        <w:rPr>
          <w:lang w:val="hr-HR"/>
        </w:rPr>
        <w:t>i</w:t>
      </w:r>
      <w:r w:rsidRPr="004259D0">
        <w:rPr>
          <w:lang w:val="hr-HR"/>
        </w:rPr>
        <w:t xml:space="preserve"> o koncesijama, kao i </w:t>
      </w:r>
      <w:r w:rsidR="004D75B0" w:rsidRPr="004259D0">
        <w:rPr>
          <w:lang w:val="hr-HR"/>
        </w:rPr>
        <w:t xml:space="preserve">subvencije </w:t>
      </w:r>
      <w:r w:rsidRPr="004259D0">
        <w:rPr>
          <w:lang w:val="hr-HR"/>
        </w:rPr>
        <w:t>za poticanje pomorskog putničkog prijevoza.</w:t>
      </w:r>
    </w:p>
    <w:p w14:paraId="7D5EDA70" w14:textId="1586C3D6" w:rsidR="00CF09B0" w:rsidRPr="004259D0" w:rsidRDefault="00CF09B0" w:rsidP="00CF09B0">
      <w:pPr>
        <w:spacing w:after="240"/>
        <w:jc w:val="both"/>
        <w:rPr>
          <w:lang w:val="hr-HR"/>
        </w:rPr>
      </w:pPr>
      <w:r w:rsidRPr="004259D0">
        <w:rPr>
          <w:lang w:val="hr-HR"/>
        </w:rPr>
        <w:t>Rashodi za dohodak od vlasništva, koji su najvećim dijelom određeni kretanjem rashoda za kamate u skladu s uvjetima na financijskim tržištima, odnosno troškovima servisiranja javnog duga, bilježe razinu od 2,</w:t>
      </w:r>
      <w:r w:rsidR="004650EC" w:rsidRPr="004259D0">
        <w:rPr>
          <w:lang w:val="hr-HR"/>
        </w:rPr>
        <w:t>3</w:t>
      </w:r>
      <w:r w:rsidRPr="004259D0">
        <w:rPr>
          <w:lang w:val="hr-HR"/>
        </w:rPr>
        <w:t xml:space="preserve">% BDP-a u 2019. godini. </w:t>
      </w:r>
    </w:p>
    <w:p w14:paraId="3AEEF8A5" w14:textId="6333396F" w:rsidR="00CF09B0" w:rsidRPr="004259D0" w:rsidRDefault="00CF09B0" w:rsidP="00CF09B0">
      <w:pPr>
        <w:spacing w:after="240"/>
        <w:jc w:val="both"/>
        <w:rPr>
          <w:lang w:val="hr-HR"/>
        </w:rPr>
      </w:pPr>
      <w:r w:rsidRPr="004259D0">
        <w:rPr>
          <w:lang w:val="hr-HR"/>
        </w:rPr>
        <w:t xml:space="preserve">Socijalne naknade i socijalni transferi </w:t>
      </w:r>
      <w:r w:rsidR="00F12102" w:rsidRPr="004259D0">
        <w:rPr>
          <w:lang w:val="hr-HR"/>
        </w:rPr>
        <w:t>planirani su na razini od</w:t>
      </w:r>
      <w:r w:rsidRPr="004259D0">
        <w:rPr>
          <w:lang w:val="hr-HR"/>
        </w:rPr>
        <w:t xml:space="preserve"> 15,6%</w:t>
      </w:r>
      <w:r w:rsidR="00F3138E" w:rsidRPr="004259D0">
        <w:rPr>
          <w:lang w:val="hr-HR"/>
        </w:rPr>
        <w:t xml:space="preserve"> BDP-a</w:t>
      </w:r>
      <w:r w:rsidRPr="004259D0">
        <w:rPr>
          <w:lang w:val="hr-HR"/>
        </w:rPr>
        <w:t xml:space="preserve">. Pritom rashodi za mirovine </w:t>
      </w:r>
      <w:r w:rsidR="00F12102" w:rsidRPr="004259D0">
        <w:rPr>
          <w:lang w:val="hr-HR"/>
        </w:rPr>
        <w:t>i mirovinska primanja čine udio od</w:t>
      </w:r>
      <w:r w:rsidRPr="004259D0">
        <w:rPr>
          <w:lang w:val="hr-HR"/>
        </w:rPr>
        <w:t xml:space="preserve"> 10,1% BDP-a. Na </w:t>
      </w:r>
      <w:r w:rsidR="00F12102" w:rsidRPr="004259D0">
        <w:rPr>
          <w:lang w:val="hr-HR"/>
        </w:rPr>
        <w:t xml:space="preserve">njihovo </w:t>
      </w:r>
      <w:r w:rsidRPr="004259D0">
        <w:rPr>
          <w:lang w:val="hr-HR"/>
        </w:rPr>
        <w:t xml:space="preserve">povećanje u 2019. godini </w:t>
      </w:r>
      <w:r w:rsidR="00F3138E" w:rsidRPr="004259D0">
        <w:rPr>
          <w:lang w:val="hr-HR"/>
        </w:rPr>
        <w:t>utječe</w:t>
      </w:r>
      <w:r w:rsidRPr="004259D0">
        <w:rPr>
          <w:lang w:val="hr-HR"/>
        </w:rPr>
        <w:t xml:space="preserve"> preneseni kumulirani </w:t>
      </w:r>
      <w:r w:rsidR="00F3138E" w:rsidRPr="004259D0">
        <w:rPr>
          <w:lang w:val="hr-HR"/>
        </w:rPr>
        <w:t xml:space="preserve">učinak </w:t>
      </w:r>
      <w:r w:rsidRPr="004259D0">
        <w:rPr>
          <w:lang w:val="hr-HR"/>
        </w:rPr>
        <w:t>promjene broja i strukture korisnika mirovina te usklađivanja mirovina iz 2018. godine, promjena broja i strukture korisnika mirovina, usklađivanje mirovina od 2,5%, primjena odredbi novog Zakona o hrvatskim braniteljima iz Domovinskog rata i članova njihovih obitelji</w:t>
      </w:r>
      <w:r w:rsidRPr="004259D0">
        <w:rPr>
          <w:rFonts w:cs="Times New Roman"/>
          <w:vertAlign w:val="superscript"/>
          <w:lang w:val="hr-HR"/>
        </w:rPr>
        <w:footnoteReference w:id="36"/>
      </w:r>
      <w:r w:rsidRPr="004259D0">
        <w:rPr>
          <w:lang w:val="hr-HR"/>
        </w:rPr>
        <w:t xml:space="preserve"> te nastavak redovite isplate dokupljenih mirovina počevši od ožujka 2018. godine. Izdvajanja za doplatak za djecu iznose 0,4% BDP-a i planirani su uzimajući u obzir cjelogodišnji učinak primjene </w:t>
      </w:r>
      <w:r w:rsidRPr="004259D0">
        <w:rPr>
          <w:rFonts w:ascii="Calibri" w:hAnsi="Calibri"/>
          <w:lang w:val="hr-HR"/>
        </w:rPr>
        <w:t>Zakona o izmjenama i dopunama Zakona o doplatku za djecu</w:t>
      </w:r>
      <w:r w:rsidRPr="004259D0">
        <w:rPr>
          <w:rStyle w:val="FootnoteReference"/>
          <w:rFonts w:ascii="Calibri" w:hAnsi="Calibri"/>
          <w:lang w:val="hr-HR"/>
        </w:rPr>
        <w:footnoteReference w:id="37"/>
      </w:r>
      <w:r w:rsidRPr="004259D0">
        <w:rPr>
          <w:lang w:val="hr-HR"/>
        </w:rPr>
        <w:t>. R</w:t>
      </w:r>
      <w:r w:rsidRPr="004259D0">
        <w:rPr>
          <w:rFonts w:ascii="Calibri" w:hAnsi="Calibri"/>
          <w:lang w:val="hr-HR"/>
        </w:rPr>
        <w:t>adi stvaranja povoljnijih financijskih uvjeta za obitelji, podignuta je razina dohodovnog cenzusa</w:t>
      </w:r>
      <w:r w:rsidR="00964A75" w:rsidRPr="004259D0">
        <w:rPr>
          <w:rStyle w:val="FootnoteReference"/>
          <w:rFonts w:ascii="Calibri" w:hAnsi="Calibri"/>
          <w:lang w:val="hr-HR"/>
        </w:rPr>
        <w:footnoteReference w:id="38"/>
      </w:r>
      <w:r w:rsidRPr="004259D0">
        <w:rPr>
          <w:rFonts w:ascii="Calibri" w:hAnsi="Calibri"/>
          <w:lang w:val="hr-HR"/>
        </w:rPr>
        <w:t xml:space="preserve"> kao uvjeta za ostvarivanje prava na doplatak za djecu s 50% na 70% proračunske osnovice, kako bi se proširio broj korisnika doplatka za djecu te samim time i pronatalitetnog dodatka koji se ostvaruje za treće i četvrto dijete korisnika doplatka za djecu. </w:t>
      </w:r>
      <w:r w:rsidRPr="004259D0">
        <w:rPr>
          <w:lang w:val="hr-HR"/>
        </w:rPr>
        <w:t xml:space="preserve">Porodiljne naknade planirane </w:t>
      </w:r>
      <w:r w:rsidR="00B87F0C" w:rsidRPr="004259D0">
        <w:rPr>
          <w:lang w:val="hr-HR"/>
        </w:rPr>
        <w:t xml:space="preserve">su </w:t>
      </w:r>
      <w:r w:rsidRPr="004259D0">
        <w:rPr>
          <w:lang w:val="hr-HR"/>
        </w:rPr>
        <w:t>na razini od 0,6</w:t>
      </w:r>
      <w:r w:rsidR="00B87F0C" w:rsidRPr="004259D0">
        <w:rPr>
          <w:lang w:val="hr-HR"/>
        </w:rPr>
        <w:t>% BDP-a, a n</w:t>
      </w:r>
      <w:r w:rsidRPr="004259D0">
        <w:rPr>
          <w:lang w:val="hr-HR"/>
        </w:rPr>
        <w:t xml:space="preserve">aknade za nezaposlene na razini od 0,2% BDP-a. Naknade za socijalnu skrb planirane su na razini od 0,6% BDP-a. </w:t>
      </w:r>
      <w:r w:rsidR="00B87F0C" w:rsidRPr="004259D0">
        <w:rPr>
          <w:lang w:val="hr-HR"/>
        </w:rPr>
        <w:t>Ovdje je osim zajamčene minimalne naknade u</w:t>
      </w:r>
      <w:r w:rsidRPr="004259D0">
        <w:rPr>
          <w:lang w:val="hr-HR"/>
        </w:rPr>
        <w:t xml:space="preserve">ključena </w:t>
      </w:r>
      <w:r w:rsidR="00CF7773" w:rsidRPr="004259D0">
        <w:rPr>
          <w:lang w:val="hr-HR"/>
        </w:rPr>
        <w:t>i</w:t>
      </w:r>
      <w:r w:rsidRPr="004259D0">
        <w:rPr>
          <w:lang w:val="hr-HR"/>
        </w:rPr>
        <w:t xml:space="preserve"> provedba Zakona o izmjenama i dopunama Zakona o socijalnoj skrbi, prema kojem se povećava iznos osobne invalidnine i doplatak za pomoć i njegu. Nadalje, uključen je i cjelogodišnji učinak primjene </w:t>
      </w:r>
      <w:r w:rsidRPr="004259D0">
        <w:rPr>
          <w:rFonts w:ascii="Calibri" w:hAnsi="Calibri"/>
          <w:lang w:val="hr-HR"/>
        </w:rPr>
        <w:t>Zakona o izmjenama i dopunama Zakona o subvencioniranju stambenih kredita</w:t>
      </w:r>
      <w:r w:rsidRPr="004259D0">
        <w:rPr>
          <w:rStyle w:val="FootnoteReference"/>
          <w:rFonts w:ascii="Calibri" w:hAnsi="Calibri"/>
          <w:lang w:val="hr-HR"/>
        </w:rPr>
        <w:footnoteReference w:id="39"/>
      </w:r>
      <w:r w:rsidRPr="004259D0">
        <w:rPr>
          <w:rFonts w:ascii="Calibri" w:hAnsi="Calibri"/>
          <w:lang w:val="hr-HR"/>
        </w:rPr>
        <w:t xml:space="preserve">, a kojim je </w:t>
      </w:r>
      <w:r w:rsidR="00CF7773" w:rsidRPr="004259D0">
        <w:rPr>
          <w:rFonts w:ascii="Calibri" w:hAnsi="Calibri"/>
          <w:lang w:val="hr-HR"/>
        </w:rPr>
        <w:t>omogućeno</w:t>
      </w:r>
      <w:r w:rsidRPr="004259D0">
        <w:rPr>
          <w:rFonts w:ascii="Calibri" w:hAnsi="Calibri"/>
          <w:lang w:val="hr-HR"/>
        </w:rPr>
        <w:t xml:space="preserve"> subvencioniranje kredita za kupnju stana ili kuće, odnosno izgradnju kuće, </w:t>
      </w:r>
      <w:r w:rsidRPr="004259D0">
        <w:rPr>
          <w:lang w:val="hr-HR"/>
        </w:rPr>
        <w:t xml:space="preserve">za svaku </w:t>
      </w:r>
      <w:r w:rsidR="004C6428" w:rsidRPr="004259D0">
        <w:rPr>
          <w:lang w:val="hr-HR"/>
        </w:rPr>
        <w:t>godinu do 31. prosinca 2020</w:t>
      </w:r>
      <w:r w:rsidRPr="004259D0">
        <w:rPr>
          <w:lang w:val="hr-HR"/>
        </w:rPr>
        <w:t>.</w:t>
      </w:r>
    </w:p>
    <w:p w14:paraId="7CC59274" w14:textId="7C52ED9C" w:rsidR="00CF09B0" w:rsidRPr="004259D0" w:rsidRDefault="00CF09B0" w:rsidP="00CF09B0">
      <w:pPr>
        <w:spacing w:after="240"/>
        <w:jc w:val="both"/>
        <w:rPr>
          <w:lang w:val="hr-HR"/>
        </w:rPr>
      </w:pPr>
      <w:r w:rsidRPr="004259D0">
        <w:rPr>
          <w:lang w:val="hr-HR"/>
        </w:rPr>
        <w:t>Ostali rashodi, koji se većinom odnose na tekuće i kapitalne transfere, planirani su na razini od</w:t>
      </w:r>
      <w:r w:rsidR="00B15848" w:rsidRPr="004259D0">
        <w:rPr>
          <w:lang w:val="hr-HR"/>
        </w:rPr>
        <w:t xml:space="preserve"> 3,5</w:t>
      </w:r>
      <w:r w:rsidR="0097746E" w:rsidRPr="004259D0">
        <w:rPr>
          <w:lang w:val="hr-HR"/>
        </w:rPr>
        <w:t>% BDP-a</w:t>
      </w:r>
      <w:r w:rsidRPr="004259D0">
        <w:rPr>
          <w:lang w:val="hr-HR"/>
        </w:rPr>
        <w:t xml:space="preserve">, te su velikim dijelom određeni uplatom vlastitog doprinosa RH u proračun EU kao i aktivnostima financiranim iz EU fondova. U ovoj kategoriji rashoda uključeni su i rashodi za provedbu </w:t>
      </w:r>
      <w:r w:rsidR="00A94079" w:rsidRPr="004259D0">
        <w:rPr>
          <w:lang w:val="hr-HR"/>
        </w:rPr>
        <w:t xml:space="preserve">izbornih aktivnosti od kojih su najznačajniji </w:t>
      </w:r>
      <w:r w:rsidRPr="004259D0">
        <w:rPr>
          <w:lang w:val="hr-HR"/>
        </w:rPr>
        <w:t>izbor</w:t>
      </w:r>
      <w:r w:rsidR="00A94079" w:rsidRPr="004259D0">
        <w:rPr>
          <w:lang w:val="hr-HR"/>
        </w:rPr>
        <w:t>i</w:t>
      </w:r>
      <w:r w:rsidRPr="004259D0">
        <w:rPr>
          <w:lang w:val="hr-HR"/>
        </w:rPr>
        <w:t xml:space="preserve"> za Europski parlament i izbo</w:t>
      </w:r>
      <w:r w:rsidR="00E007EF" w:rsidRPr="004259D0">
        <w:rPr>
          <w:lang w:val="hr-HR"/>
        </w:rPr>
        <w:t>ri za predsjednika RH. Dodatno, u kategoriji kapitalnih transfera uključen je i očekivani jednokratni trošak na ime protestiranih jamstava Uljanik grupe u 2019. godini u iznosu od 1 milijarde kuna</w:t>
      </w:r>
      <w:r w:rsidR="0097746E" w:rsidRPr="004259D0">
        <w:rPr>
          <w:lang w:val="hr-HR"/>
        </w:rPr>
        <w:t xml:space="preserve"> ili 0,3% BDP-a</w:t>
      </w:r>
      <w:r w:rsidR="00E007EF" w:rsidRPr="004259D0">
        <w:rPr>
          <w:lang w:val="hr-HR"/>
        </w:rPr>
        <w:t>.</w:t>
      </w:r>
    </w:p>
    <w:p w14:paraId="20FB3A66" w14:textId="04A656E4" w:rsidR="00772045" w:rsidRPr="004259D0" w:rsidRDefault="00CF09B0" w:rsidP="00CF09B0">
      <w:pPr>
        <w:spacing w:after="240"/>
        <w:jc w:val="both"/>
        <w:rPr>
          <w:lang w:val="hr-HR"/>
        </w:rPr>
      </w:pPr>
      <w:r w:rsidRPr="004259D0">
        <w:rPr>
          <w:lang w:val="hr-HR"/>
        </w:rPr>
        <w:t xml:space="preserve">Rashodi za bruto investicije u fiksni kapital planirani su na razini od </w:t>
      </w:r>
      <w:r w:rsidR="004650EC" w:rsidRPr="004259D0">
        <w:rPr>
          <w:lang w:val="hr-HR"/>
        </w:rPr>
        <w:t>4</w:t>
      </w:r>
      <w:r w:rsidRPr="004259D0">
        <w:rPr>
          <w:lang w:val="hr-HR"/>
        </w:rPr>
        <w:t xml:space="preserve">% BDP-a i bilježe snažan rast od </w:t>
      </w:r>
      <w:r w:rsidR="004650EC" w:rsidRPr="004259D0">
        <w:rPr>
          <w:lang w:val="hr-HR"/>
        </w:rPr>
        <w:t>21,2</w:t>
      </w:r>
      <w:r w:rsidRPr="004259D0">
        <w:rPr>
          <w:lang w:val="hr-HR"/>
        </w:rPr>
        <w:t xml:space="preserve">% u odnosu na 2018. godinu. </w:t>
      </w:r>
      <w:r w:rsidR="00772045" w:rsidRPr="004259D0">
        <w:rPr>
          <w:lang w:val="hr-HR"/>
        </w:rPr>
        <w:t xml:space="preserve">Pritom je najznačajniji rast </w:t>
      </w:r>
      <w:r w:rsidR="00060D6C" w:rsidRPr="004259D0">
        <w:rPr>
          <w:lang w:val="hr-HR"/>
        </w:rPr>
        <w:t xml:space="preserve">predviđen u dijelu izgradnje cestovne i željezničke infrastrukture. Veliki dio investicija financiran je iz EU sredstava, a kao najznačajniji projekt ističe </w:t>
      </w:r>
      <w:r w:rsidR="00194819" w:rsidRPr="004259D0">
        <w:rPr>
          <w:lang w:val="hr-HR"/>
        </w:rPr>
        <w:t xml:space="preserve">se </w:t>
      </w:r>
      <w:r w:rsidR="00060D6C" w:rsidRPr="004259D0">
        <w:rPr>
          <w:lang w:val="hr-HR"/>
        </w:rPr>
        <w:t xml:space="preserve">nastavak izgradnje Pelješkog mosta. Isto tako, kapitalne investicije planirane su i u sektorima zdravstva, pravosuđa i znanosti. </w:t>
      </w:r>
      <w:r w:rsidR="00194819" w:rsidRPr="004259D0">
        <w:rPr>
          <w:lang w:val="hr-HR"/>
        </w:rPr>
        <w:t xml:space="preserve">Osim toga, osigurana su i </w:t>
      </w:r>
      <w:r w:rsidR="00FA704C" w:rsidRPr="004259D0">
        <w:rPr>
          <w:lang w:val="hr-HR"/>
        </w:rPr>
        <w:t xml:space="preserve">sredstva </w:t>
      </w:r>
      <w:r w:rsidR="00060D6C" w:rsidRPr="004259D0">
        <w:rPr>
          <w:lang w:val="hr-HR"/>
        </w:rPr>
        <w:t>za uređenje kongresnog centra Nacionalne i sveučilišne knjižnice u Zagrebu za potrebe predsjedanja RH Vijećem EU.</w:t>
      </w:r>
    </w:p>
    <w:p w14:paraId="361B45DD" w14:textId="77777777" w:rsidR="00ED6606" w:rsidRPr="004259D0" w:rsidRDefault="00ED6606" w:rsidP="00CD0F95">
      <w:pPr>
        <w:rPr>
          <w:lang w:val="hr-HR"/>
        </w:rPr>
      </w:pPr>
    </w:p>
    <w:p w14:paraId="4F53F1F9" w14:textId="77777777" w:rsidR="006D6EEE" w:rsidRPr="004259D0" w:rsidRDefault="006D6EEE" w:rsidP="00C405F5">
      <w:pPr>
        <w:pStyle w:val="Subtitle"/>
        <w:rPr>
          <w:color w:val="auto"/>
          <w:lang w:val="hr-HR"/>
        </w:rPr>
      </w:pPr>
      <w:r w:rsidRPr="004259D0">
        <w:rPr>
          <w:lang w:val="hr-HR"/>
        </w:rPr>
        <w:t>Neto pozajmljivanje/zaduživanje</w:t>
      </w:r>
      <w:r w:rsidR="00EC5593" w:rsidRPr="004259D0">
        <w:rPr>
          <w:lang w:val="hr-HR"/>
        </w:rPr>
        <w:t xml:space="preserve"> </w:t>
      </w:r>
    </w:p>
    <w:p w14:paraId="6276AA42" w14:textId="30E7013E" w:rsidR="00CF09B0" w:rsidRPr="004259D0" w:rsidRDefault="00CF09B0" w:rsidP="00CF09B0">
      <w:pPr>
        <w:spacing w:after="240"/>
        <w:jc w:val="both"/>
        <w:rPr>
          <w:lang w:val="hr-HR"/>
        </w:rPr>
      </w:pPr>
      <w:r w:rsidRPr="004259D0">
        <w:rPr>
          <w:lang w:val="hr-HR"/>
        </w:rPr>
        <w:t xml:space="preserve">Slijedom planiranih prihoda i rashoda, očekuje se da će proračun opće države zabilježiti manjak od </w:t>
      </w:r>
      <w:r w:rsidR="00513A3B" w:rsidRPr="004259D0">
        <w:rPr>
          <w:lang w:val="hr-HR"/>
        </w:rPr>
        <w:t>0,3</w:t>
      </w:r>
      <w:r w:rsidRPr="004259D0">
        <w:rPr>
          <w:lang w:val="hr-HR"/>
        </w:rPr>
        <w:t>% BDP-a u 2019. godini. Pritom će manj</w:t>
      </w:r>
      <w:r w:rsidR="00513A3B" w:rsidRPr="004259D0">
        <w:rPr>
          <w:lang w:val="hr-HR"/>
        </w:rPr>
        <w:t>ak središnje države iznositi 0,5</w:t>
      </w:r>
      <w:r w:rsidRPr="004259D0">
        <w:rPr>
          <w:lang w:val="hr-HR"/>
        </w:rPr>
        <w:t xml:space="preserve">% BDP-a, </w:t>
      </w:r>
      <w:r w:rsidR="00B0572F" w:rsidRPr="004259D0">
        <w:rPr>
          <w:lang w:val="hr-HR"/>
        </w:rPr>
        <w:t>a jedinice</w:t>
      </w:r>
      <w:r w:rsidRPr="004259D0">
        <w:rPr>
          <w:lang w:val="hr-HR"/>
        </w:rPr>
        <w:t xml:space="preserve"> lokalne države 0,1% BDP-a. Fondovi socijalnog osiguranja zabilježit će </w:t>
      </w:r>
      <w:r w:rsidR="00513A3B" w:rsidRPr="004259D0">
        <w:rPr>
          <w:lang w:val="hr-HR"/>
        </w:rPr>
        <w:t>višak od 0,3% BDP-a</w:t>
      </w:r>
      <w:r w:rsidRPr="004259D0">
        <w:rPr>
          <w:lang w:val="hr-HR"/>
        </w:rPr>
        <w:t xml:space="preserve">. </w:t>
      </w:r>
    </w:p>
    <w:p w14:paraId="6777ACE0" w14:textId="77777777" w:rsidR="00C405F5" w:rsidRPr="004259D0" w:rsidRDefault="00C405F5" w:rsidP="008160DF">
      <w:pPr>
        <w:pStyle w:val="Heading2"/>
        <w:numPr>
          <w:ilvl w:val="1"/>
          <w:numId w:val="1"/>
        </w:numPr>
        <w:rPr>
          <w:lang w:val="hr-HR"/>
        </w:rPr>
      </w:pPr>
      <w:bookmarkStart w:id="26" w:name="_Toc6418620"/>
      <w:r w:rsidRPr="004259D0">
        <w:rPr>
          <w:lang w:val="hr-HR"/>
        </w:rPr>
        <w:t>Sred</w:t>
      </w:r>
      <w:r w:rsidR="00D12C95" w:rsidRPr="004259D0">
        <w:rPr>
          <w:lang w:val="hr-HR"/>
        </w:rPr>
        <w:t>njoročni proračunski okvir (2020</w:t>
      </w:r>
      <w:r w:rsidRPr="004259D0">
        <w:rPr>
          <w:lang w:val="hr-HR"/>
        </w:rPr>
        <w:t>. – 20</w:t>
      </w:r>
      <w:r w:rsidR="00F9093A" w:rsidRPr="004259D0">
        <w:rPr>
          <w:lang w:val="hr-HR"/>
        </w:rPr>
        <w:t>2</w:t>
      </w:r>
      <w:r w:rsidR="00D12C95" w:rsidRPr="004259D0">
        <w:rPr>
          <w:lang w:val="hr-HR"/>
        </w:rPr>
        <w:t>2</w:t>
      </w:r>
      <w:r w:rsidRPr="004259D0">
        <w:rPr>
          <w:lang w:val="hr-HR"/>
        </w:rPr>
        <w:t>.)</w:t>
      </w:r>
      <w:bookmarkEnd w:id="26"/>
    </w:p>
    <w:p w14:paraId="75300568" w14:textId="77777777" w:rsidR="007A5CA5" w:rsidRPr="004259D0" w:rsidRDefault="007A5CA5" w:rsidP="007A5CA5">
      <w:pPr>
        <w:rPr>
          <w:lang w:val="hr-HR"/>
        </w:rPr>
      </w:pPr>
    </w:p>
    <w:p w14:paraId="4E4C6689" w14:textId="77777777" w:rsidR="00AE6FDC" w:rsidRPr="004259D0" w:rsidRDefault="00AE6FDC" w:rsidP="00236982">
      <w:pPr>
        <w:pStyle w:val="Subtitle"/>
        <w:rPr>
          <w:lang w:val="hr-HR"/>
        </w:rPr>
      </w:pPr>
      <w:r w:rsidRPr="004259D0">
        <w:rPr>
          <w:lang w:val="hr-HR"/>
        </w:rPr>
        <w:t>Prihodi konsolidirane opće države</w:t>
      </w:r>
      <w:r w:rsidR="00477543" w:rsidRPr="004259D0">
        <w:rPr>
          <w:lang w:val="hr-HR"/>
        </w:rPr>
        <w:t xml:space="preserve"> </w:t>
      </w:r>
    </w:p>
    <w:p w14:paraId="64066411" w14:textId="563D1C38" w:rsidR="006D0291" w:rsidRPr="004259D0" w:rsidRDefault="006D0291" w:rsidP="006D0291">
      <w:pPr>
        <w:spacing w:before="240" w:after="0"/>
        <w:jc w:val="both"/>
        <w:rPr>
          <w:rFonts w:eastAsia="Times New Roman" w:cs="Times New Roman"/>
          <w:lang w:val="hr-HR" w:eastAsia="hr-HR"/>
        </w:rPr>
      </w:pPr>
      <w:r w:rsidRPr="004259D0">
        <w:rPr>
          <w:rFonts w:eastAsia="Times New Roman" w:cs="Times New Roman"/>
          <w:lang w:val="hr-HR" w:eastAsia="hr-HR"/>
        </w:rPr>
        <w:t xml:space="preserve">U razdoblju 2020. - 2022. prihodi proračuna opće države bit će određeni kretanjem gospodarske aktivnosti, a uzimajući u obzir i fiskalne učinke provedenog poreznog rasterećenja, kao i onog koje će uslijediti u 2020. </w:t>
      </w:r>
      <w:r w:rsidR="00E63559" w:rsidRPr="004259D0">
        <w:rPr>
          <w:rFonts w:eastAsia="Times New Roman" w:cs="Times New Roman"/>
          <w:lang w:val="hr-HR" w:eastAsia="hr-HR"/>
        </w:rPr>
        <w:t xml:space="preserve">godini. </w:t>
      </w:r>
      <w:r w:rsidR="002E2684" w:rsidRPr="004259D0">
        <w:rPr>
          <w:rFonts w:eastAsia="Times New Roman" w:cs="Times New Roman"/>
          <w:lang w:val="hr-HR" w:eastAsia="hr-HR"/>
        </w:rPr>
        <w:t xml:space="preserve">Naime, od 1. siječnja 2020. opća stopa PDV-a smanjuje se s 25% na 24%, pri čemu je fiskalni učinak ove izmjene procijenjen na 1,6 milijardi kuna ili 0,4% BDP-a. </w:t>
      </w:r>
      <w:r w:rsidRPr="004259D0">
        <w:rPr>
          <w:rFonts w:eastAsia="Times New Roman" w:cs="Times New Roman"/>
          <w:lang w:val="hr-HR" w:eastAsia="hr-HR"/>
        </w:rPr>
        <w:t xml:space="preserve">Tako će u 2020. prihodi konsolidirane opće države zabilježiti razinu od </w:t>
      </w:r>
      <w:r w:rsidR="00BC664D" w:rsidRPr="004259D0">
        <w:rPr>
          <w:rFonts w:eastAsia="Times New Roman" w:cs="Times New Roman"/>
          <w:lang w:val="hr-HR" w:eastAsia="hr-HR"/>
        </w:rPr>
        <w:t>46,9</w:t>
      </w:r>
      <w:r w:rsidRPr="004259D0">
        <w:rPr>
          <w:rFonts w:eastAsia="Times New Roman" w:cs="Times New Roman"/>
          <w:lang w:val="hr-HR" w:eastAsia="hr-HR"/>
        </w:rPr>
        <w:t xml:space="preserve">% BDP-a, u 2021. od </w:t>
      </w:r>
      <w:r w:rsidR="003B4F3C" w:rsidRPr="004259D0">
        <w:rPr>
          <w:rFonts w:eastAsia="Times New Roman" w:cs="Times New Roman"/>
          <w:lang w:val="hr-HR" w:eastAsia="hr-HR"/>
        </w:rPr>
        <w:t>46,</w:t>
      </w:r>
      <w:r w:rsidR="00BC664D" w:rsidRPr="004259D0">
        <w:rPr>
          <w:rFonts w:eastAsia="Times New Roman" w:cs="Times New Roman"/>
          <w:lang w:val="hr-HR" w:eastAsia="hr-HR"/>
        </w:rPr>
        <w:t>4</w:t>
      </w:r>
      <w:r w:rsidRPr="004259D0">
        <w:rPr>
          <w:rFonts w:eastAsia="Times New Roman" w:cs="Times New Roman"/>
          <w:lang w:val="hr-HR" w:eastAsia="hr-HR"/>
        </w:rPr>
        <w:t xml:space="preserve">% BDP-a te u 2022. godini razinu od </w:t>
      </w:r>
      <w:r w:rsidR="003B4F3C" w:rsidRPr="004259D0">
        <w:rPr>
          <w:rFonts w:eastAsia="Times New Roman" w:cs="Times New Roman"/>
          <w:lang w:val="hr-HR" w:eastAsia="hr-HR"/>
        </w:rPr>
        <w:t>46,</w:t>
      </w:r>
      <w:r w:rsidR="00BC664D" w:rsidRPr="004259D0">
        <w:rPr>
          <w:rFonts w:eastAsia="Times New Roman" w:cs="Times New Roman"/>
          <w:lang w:val="hr-HR" w:eastAsia="hr-HR"/>
        </w:rPr>
        <w:t>2</w:t>
      </w:r>
      <w:r w:rsidRPr="004259D0">
        <w:rPr>
          <w:rFonts w:eastAsia="Times New Roman" w:cs="Times New Roman"/>
          <w:lang w:val="hr-HR" w:eastAsia="hr-HR"/>
        </w:rPr>
        <w:t xml:space="preserve">% BDP-a. </w:t>
      </w:r>
    </w:p>
    <w:p w14:paraId="1A50A733" w14:textId="0A687977" w:rsidR="006D0291" w:rsidRPr="004259D0" w:rsidRDefault="006D0291" w:rsidP="006D0291">
      <w:pPr>
        <w:spacing w:before="240" w:after="0"/>
        <w:jc w:val="both"/>
        <w:rPr>
          <w:rFonts w:eastAsia="Times New Roman" w:cs="Times New Roman"/>
          <w:lang w:val="hr-HR" w:eastAsia="hr-HR"/>
        </w:rPr>
      </w:pPr>
      <w:r w:rsidRPr="004259D0">
        <w:rPr>
          <w:rFonts w:eastAsia="Times New Roman" w:cs="Times New Roman"/>
          <w:lang w:val="hr-HR" w:eastAsia="hr-HR"/>
        </w:rPr>
        <w:t xml:space="preserve">Porezi na proizvodnju i uvoz u srednjoročnom razdoblju kretat će se </w:t>
      </w:r>
      <w:r w:rsidR="003B4F3C" w:rsidRPr="004259D0">
        <w:rPr>
          <w:rFonts w:eastAsia="Times New Roman" w:cs="Times New Roman"/>
          <w:lang w:val="hr-HR" w:eastAsia="hr-HR"/>
        </w:rPr>
        <w:t>na razini od 19,</w:t>
      </w:r>
      <w:r w:rsidR="00BC664D" w:rsidRPr="004259D0">
        <w:rPr>
          <w:rFonts w:eastAsia="Times New Roman" w:cs="Times New Roman"/>
          <w:lang w:val="hr-HR" w:eastAsia="hr-HR"/>
        </w:rPr>
        <w:t>4</w:t>
      </w:r>
      <w:r w:rsidRPr="004259D0">
        <w:rPr>
          <w:rFonts w:eastAsia="Times New Roman" w:cs="Times New Roman"/>
          <w:lang w:val="hr-HR" w:eastAsia="hr-HR"/>
        </w:rPr>
        <w:t xml:space="preserve">% BDP-a. Pritom će se prihodi od poreza na dodanu vrijednost kretati na razini od </w:t>
      </w:r>
      <w:r w:rsidR="00BC664D" w:rsidRPr="004259D0">
        <w:rPr>
          <w:rFonts w:eastAsia="Times New Roman" w:cs="Times New Roman"/>
          <w:lang w:val="hr-HR" w:eastAsia="hr-HR"/>
        </w:rPr>
        <w:t>13</w:t>
      </w:r>
      <w:r w:rsidRPr="004259D0">
        <w:rPr>
          <w:rFonts w:eastAsia="Times New Roman" w:cs="Times New Roman"/>
          <w:lang w:val="hr-HR" w:eastAsia="hr-HR"/>
        </w:rPr>
        <w:t>% BDP-a</w:t>
      </w:r>
      <w:r w:rsidR="003B4F3C" w:rsidRPr="004259D0">
        <w:rPr>
          <w:rFonts w:eastAsia="Times New Roman" w:cs="Times New Roman"/>
          <w:lang w:val="hr-HR" w:eastAsia="hr-HR"/>
        </w:rPr>
        <w:t xml:space="preserve"> u 2020. do </w:t>
      </w:r>
      <w:r w:rsidR="00BC664D" w:rsidRPr="004259D0">
        <w:rPr>
          <w:rFonts w:eastAsia="Times New Roman" w:cs="Times New Roman"/>
          <w:lang w:val="hr-HR" w:eastAsia="hr-HR"/>
        </w:rPr>
        <w:t>13,1</w:t>
      </w:r>
      <w:r w:rsidR="003B4F3C" w:rsidRPr="004259D0">
        <w:rPr>
          <w:rFonts w:eastAsia="Times New Roman" w:cs="Times New Roman"/>
          <w:lang w:val="hr-HR" w:eastAsia="hr-HR"/>
        </w:rPr>
        <w:t>% BDP-a u 2022. godini</w:t>
      </w:r>
      <w:r w:rsidRPr="004259D0">
        <w:rPr>
          <w:rFonts w:eastAsia="Times New Roman" w:cs="Times New Roman"/>
          <w:lang w:val="hr-HR" w:eastAsia="hr-HR"/>
        </w:rPr>
        <w:t xml:space="preserve">. Od značajnijih poreznih oblika u kategoriju poreza na proizvodnju i uvoz, uključeni su i prihodi od trošarina. Oni su projicirani na temelju očekivanog kretanja potrošnje trošarinskih proizvoda, a u promatranom srednjoročnom razdoblju kretat će se na razini od </w:t>
      </w:r>
      <w:r w:rsidR="00BC664D" w:rsidRPr="004259D0">
        <w:rPr>
          <w:rFonts w:eastAsia="Times New Roman" w:cs="Times New Roman"/>
          <w:lang w:val="hr-HR" w:eastAsia="hr-HR"/>
        </w:rPr>
        <w:t>4,6</w:t>
      </w:r>
      <w:r w:rsidRPr="004259D0">
        <w:rPr>
          <w:rFonts w:eastAsia="Times New Roman" w:cs="Times New Roman"/>
          <w:lang w:val="hr-HR" w:eastAsia="hr-HR"/>
        </w:rPr>
        <w:t>% BDP-a</w:t>
      </w:r>
      <w:r w:rsidR="003B4F3C" w:rsidRPr="004259D0">
        <w:rPr>
          <w:rFonts w:eastAsia="Times New Roman" w:cs="Times New Roman"/>
          <w:lang w:val="hr-HR" w:eastAsia="hr-HR"/>
        </w:rPr>
        <w:t xml:space="preserve"> u 2020. do </w:t>
      </w:r>
      <w:r w:rsidR="00BC664D" w:rsidRPr="004259D0">
        <w:rPr>
          <w:rFonts w:eastAsia="Times New Roman" w:cs="Times New Roman"/>
          <w:lang w:val="hr-HR" w:eastAsia="hr-HR"/>
        </w:rPr>
        <w:t>4,5</w:t>
      </w:r>
      <w:r w:rsidR="003B4F3C" w:rsidRPr="004259D0">
        <w:rPr>
          <w:rFonts w:eastAsia="Times New Roman" w:cs="Times New Roman"/>
          <w:lang w:val="hr-HR" w:eastAsia="hr-HR"/>
        </w:rPr>
        <w:t>% BDP-a u 2022. godini</w:t>
      </w:r>
      <w:r w:rsidRPr="004259D0">
        <w:rPr>
          <w:rFonts w:eastAsia="Times New Roman" w:cs="Times New Roman"/>
          <w:lang w:val="hr-HR" w:eastAsia="hr-HR"/>
        </w:rPr>
        <w:t xml:space="preserve">. </w:t>
      </w:r>
    </w:p>
    <w:p w14:paraId="232B0A6C" w14:textId="68F2897C" w:rsidR="006D0291" w:rsidRPr="004259D0" w:rsidRDefault="006D0291" w:rsidP="006D0291">
      <w:pPr>
        <w:spacing w:before="240" w:after="0"/>
        <w:jc w:val="both"/>
        <w:rPr>
          <w:rFonts w:eastAsia="Times New Roman" w:cs="Times New Roman"/>
          <w:lang w:val="hr-HR" w:eastAsia="hr-HR"/>
        </w:rPr>
      </w:pPr>
      <w:r w:rsidRPr="004259D0">
        <w:rPr>
          <w:rFonts w:eastAsia="Times New Roman" w:cs="Times New Roman"/>
          <w:lang w:val="hr-HR" w:eastAsia="hr-HR"/>
        </w:rPr>
        <w:t xml:space="preserve">Nadalje, prihodi od tekućih poreza na dohodak i bogatstvo će u promatranom razdoblju bilježiti prosječnu razinu od </w:t>
      </w:r>
      <w:r w:rsidR="00A84BA0" w:rsidRPr="004259D0">
        <w:rPr>
          <w:rFonts w:eastAsia="Times New Roman" w:cs="Times New Roman"/>
          <w:lang w:val="hr-HR" w:eastAsia="hr-HR"/>
        </w:rPr>
        <w:t>6,</w:t>
      </w:r>
      <w:r w:rsidR="002E2684" w:rsidRPr="004259D0">
        <w:rPr>
          <w:rFonts w:eastAsia="Times New Roman" w:cs="Times New Roman"/>
          <w:lang w:val="hr-HR" w:eastAsia="hr-HR"/>
        </w:rPr>
        <w:t>4</w:t>
      </w:r>
      <w:r w:rsidRPr="004259D0">
        <w:rPr>
          <w:rFonts w:eastAsia="Times New Roman" w:cs="Times New Roman"/>
          <w:lang w:val="hr-HR" w:eastAsia="hr-HR"/>
        </w:rPr>
        <w:t>% BDP-a</w:t>
      </w:r>
      <w:r w:rsidR="00E63559" w:rsidRPr="004259D0">
        <w:rPr>
          <w:rFonts w:eastAsia="Times New Roman" w:cs="Times New Roman"/>
          <w:lang w:val="hr-HR" w:eastAsia="hr-HR"/>
        </w:rPr>
        <w:t xml:space="preserve">, a </w:t>
      </w:r>
      <w:r w:rsidR="002E2684" w:rsidRPr="004259D0">
        <w:rPr>
          <w:rFonts w:eastAsia="Times New Roman" w:cs="Times New Roman"/>
          <w:lang w:val="hr-HR" w:eastAsia="hr-HR"/>
        </w:rPr>
        <w:t>u</w:t>
      </w:r>
      <w:r w:rsidRPr="004259D0">
        <w:rPr>
          <w:rFonts w:eastAsia="Times New Roman" w:cs="Times New Roman"/>
          <w:lang w:val="hr-HR" w:eastAsia="hr-HR"/>
        </w:rPr>
        <w:t xml:space="preserve">dio prihoda od socijalnih doprinosa </w:t>
      </w:r>
      <w:r w:rsidR="002E2684" w:rsidRPr="004259D0">
        <w:rPr>
          <w:rFonts w:eastAsia="Times New Roman" w:cs="Times New Roman"/>
          <w:lang w:val="hr-HR" w:eastAsia="hr-HR"/>
        </w:rPr>
        <w:t xml:space="preserve">prosječnu </w:t>
      </w:r>
      <w:r w:rsidRPr="004259D0">
        <w:rPr>
          <w:rFonts w:eastAsia="Times New Roman" w:cs="Times New Roman"/>
          <w:lang w:val="hr-HR" w:eastAsia="hr-HR"/>
        </w:rPr>
        <w:t xml:space="preserve">razinu od </w:t>
      </w:r>
      <w:r w:rsidR="00A84BA0" w:rsidRPr="004259D0">
        <w:rPr>
          <w:rFonts w:eastAsia="Times New Roman" w:cs="Times New Roman"/>
          <w:lang w:val="hr-HR" w:eastAsia="hr-HR"/>
        </w:rPr>
        <w:t>12,0</w:t>
      </w:r>
      <w:r w:rsidRPr="004259D0">
        <w:rPr>
          <w:rFonts w:eastAsia="Times New Roman" w:cs="Times New Roman"/>
          <w:lang w:val="hr-HR" w:eastAsia="hr-HR"/>
        </w:rPr>
        <w:t>% BDP-a</w:t>
      </w:r>
      <w:r w:rsidR="00E63559" w:rsidRPr="004259D0">
        <w:rPr>
          <w:rFonts w:eastAsia="Times New Roman" w:cs="Times New Roman"/>
          <w:lang w:val="hr-HR" w:eastAsia="hr-HR"/>
        </w:rPr>
        <w:t xml:space="preserve">. Ostali </w:t>
      </w:r>
      <w:r w:rsidR="00BC664D" w:rsidRPr="004259D0">
        <w:rPr>
          <w:rFonts w:eastAsia="Times New Roman" w:cs="Times New Roman"/>
          <w:lang w:val="hr-HR" w:eastAsia="hr-HR"/>
        </w:rPr>
        <w:t xml:space="preserve">tekući i kapitalni </w:t>
      </w:r>
      <w:r w:rsidR="00E63559" w:rsidRPr="004259D0">
        <w:rPr>
          <w:rFonts w:eastAsia="Times New Roman" w:cs="Times New Roman"/>
          <w:lang w:val="hr-HR" w:eastAsia="hr-HR"/>
        </w:rPr>
        <w:t xml:space="preserve">prihodi bit će </w:t>
      </w:r>
      <w:r w:rsidRPr="004259D0">
        <w:rPr>
          <w:rFonts w:eastAsia="Times New Roman" w:cs="Times New Roman"/>
          <w:lang w:val="hr-HR" w:eastAsia="hr-HR"/>
        </w:rPr>
        <w:t>određeni projiciranom apsorpcijom iz EU fondova.</w:t>
      </w:r>
    </w:p>
    <w:p w14:paraId="453BA23B" w14:textId="77777777" w:rsidR="00C319C4" w:rsidRPr="004259D0" w:rsidRDefault="00C319C4" w:rsidP="00CD0F95">
      <w:pPr>
        <w:rPr>
          <w:lang w:val="hr-HR"/>
        </w:rPr>
      </w:pPr>
    </w:p>
    <w:p w14:paraId="1BCB98D6" w14:textId="77777777" w:rsidR="00C405F5" w:rsidRPr="004259D0" w:rsidRDefault="00781B88" w:rsidP="00C405F5">
      <w:pPr>
        <w:pStyle w:val="Subtitle"/>
        <w:rPr>
          <w:lang w:val="hr-HR"/>
        </w:rPr>
      </w:pPr>
      <w:r w:rsidRPr="004259D0">
        <w:rPr>
          <w:lang w:val="hr-HR"/>
        </w:rPr>
        <w:t>Rashodi</w:t>
      </w:r>
      <w:r w:rsidR="00C405F5" w:rsidRPr="004259D0">
        <w:rPr>
          <w:lang w:val="hr-HR"/>
        </w:rPr>
        <w:t xml:space="preserve"> konsolidirane opće države </w:t>
      </w:r>
    </w:p>
    <w:p w14:paraId="6CB316B1" w14:textId="6B4A954B" w:rsidR="00CF09B0" w:rsidRPr="004259D0" w:rsidRDefault="00CF09B0" w:rsidP="00CF09B0">
      <w:pPr>
        <w:jc w:val="both"/>
        <w:rPr>
          <w:lang w:val="hr-HR"/>
        </w:rPr>
      </w:pPr>
      <w:r w:rsidRPr="004259D0">
        <w:rPr>
          <w:lang w:val="hr-HR"/>
        </w:rPr>
        <w:t xml:space="preserve">U 2020. rashodi proračuna opće države projicirani su na razini od </w:t>
      </w:r>
      <w:r w:rsidR="00687445" w:rsidRPr="004259D0">
        <w:rPr>
          <w:lang w:val="hr-HR"/>
        </w:rPr>
        <w:t>46,7</w:t>
      </w:r>
      <w:r w:rsidRPr="004259D0">
        <w:rPr>
          <w:lang w:val="hr-HR"/>
        </w:rPr>
        <w:t xml:space="preserve">% BDP-a, u 2021. na razini od </w:t>
      </w:r>
      <w:r w:rsidR="00E2732C" w:rsidRPr="004259D0">
        <w:rPr>
          <w:lang w:val="hr-HR"/>
        </w:rPr>
        <w:t>46,</w:t>
      </w:r>
      <w:r w:rsidR="00687445" w:rsidRPr="004259D0">
        <w:rPr>
          <w:lang w:val="hr-HR"/>
        </w:rPr>
        <w:t>0</w:t>
      </w:r>
      <w:r w:rsidRPr="004259D0">
        <w:rPr>
          <w:lang w:val="hr-HR"/>
        </w:rPr>
        <w:t xml:space="preserve">% BDP-a, a u 2022. godini na razini od </w:t>
      </w:r>
      <w:r w:rsidR="00E2732C" w:rsidRPr="004259D0">
        <w:rPr>
          <w:lang w:val="hr-HR"/>
        </w:rPr>
        <w:t>4</w:t>
      </w:r>
      <w:r w:rsidR="00687445" w:rsidRPr="004259D0">
        <w:rPr>
          <w:lang w:val="hr-HR"/>
        </w:rPr>
        <w:t>5,4</w:t>
      </w:r>
      <w:r w:rsidRPr="004259D0">
        <w:rPr>
          <w:lang w:val="hr-HR"/>
        </w:rPr>
        <w:t xml:space="preserve">% BDP-a. </w:t>
      </w:r>
    </w:p>
    <w:p w14:paraId="2D7A730C" w14:textId="36C19D5A" w:rsidR="00CF09B0" w:rsidRPr="004259D0" w:rsidRDefault="00B07976" w:rsidP="00CF09B0">
      <w:pPr>
        <w:jc w:val="both"/>
        <w:rPr>
          <w:lang w:val="hr-HR"/>
        </w:rPr>
      </w:pPr>
      <w:r w:rsidRPr="004259D0">
        <w:rPr>
          <w:lang w:val="hr-HR"/>
        </w:rPr>
        <w:t xml:space="preserve">Naknade zaposlenima će u </w:t>
      </w:r>
      <w:r w:rsidR="00CF09B0" w:rsidRPr="004259D0">
        <w:rPr>
          <w:lang w:val="hr-HR"/>
        </w:rPr>
        <w:t xml:space="preserve">razdoblju </w:t>
      </w:r>
      <w:r w:rsidRPr="004259D0">
        <w:rPr>
          <w:lang w:val="hr-HR"/>
        </w:rPr>
        <w:t xml:space="preserve">2020. – 2022. </w:t>
      </w:r>
      <w:r w:rsidR="00CF09B0" w:rsidRPr="004259D0">
        <w:rPr>
          <w:lang w:val="hr-HR"/>
        </w:rPr>
        <w:t>bilježiti prosječnu razinu od 11,</w:t>
      </w:r>
      <w:r w:rsidR="00414113" w:rsidRPr="004259D0">
        <w:rPr>
          <w:lang w:val="hr-HR"/>
        </w:rPr>
        <w:t>6</w:t>
      </w:r>
      <w:r w:rsidR="00CF09B0" w:rsidRPr="004259D0">
        <w:rPr>
          <w:lang w:val="hr-HR"/>
        </w:rPr>
        <w:t>% BDP-a uslijed očekivanog kretanja razine broja zaposlenih državnih i javnih službenika te prava koja proizlaze iz kolektivnih ugovora. Također, u ovoj kategoriji rashoda uključeno je i povećanje izdvajanja u svrhu predsjedanja RH Vijećem EU koje RH preuz</w:t>
      </w:r>
      <w:r w:rsidR="004C6428" w:rsidRPr="004259D0">
        <w:rPr>
          <w:lang w:val="hr-HR"/>
        </w:rPr>
        <w:t>ima od 1. siječnja 2020</w:t>
      </w:r>
      <w:r w:rsidR="00CF09B0" w:rsidRPr="004259D0">
        <w:rPr>
          <w:lang w:val="hr-HR"/>
        </w:rPr>
        <w:t xml:space="preserve">. </w:t>
      </w:r>
    </w:p>
    <w:p w14:paraId="4D9C58D1" w14:textId="124BCF9B" w:rsidR="00CF09B0" w:rsidRPr="004259D0" w:rsidRDefault="00CF09B0" w:rsidP="00CF09B0">
      <w:pPr>
        <w:jc w:val="both"/>
        <w:rPr>
          <w:lang w:val="hr-HR"/>
        </w:rPr>
      </w:pPr>
      <w:r w:rsidRPr="004259D0">
        <w:rPr>
          <w:lang w:val="hr-HR"/>
        </w:rPr>
        <w:t xml:space="preserve">Rashodi za intermedijarnu potrošnju kretat će se na prosječnoj razini od </w:t>
      </w:r>
      <w:r w:rsidR="007D372A" w:rsidRPr="004259D0">
        <w:rPr>
          <w:lang w:val="hr-HR"/>
        </w:rPr>
        <w:t>8,5</w:t>
      </w:r>
      <w:r w:rsidRPr="004259D0">
        <w:rPr>
          <w:lang w:val="hr-HR"/>
        </w:rPr>
        <w:t xml:space="preserve">% BDP-a. U ovoj kategoriji rashoda uključeno je </w:t>
      </w:r>
      <w:r w:rsidR="00B07976" w:rsidRPr="004259D0">
        <w:rPr>
          <w:lang w:val="hr-HR"/>
        </w:rPr>
        <w:t xml:space="preserve">i </w:t>
      </w:r>
      <w:r w:rsidRPr="004259D0">
        <w:rPr>
          <w:lang w:val="hr-HR"/>
        </w:rPr>
        <w:t xml:space="preserve">povećanje rashoda za lijekove i medicinski materijali bolničkih ustanova, ali i troškovi predsjedavanja </w:t>
      </w:r>
      <w:r w:rsidR="00B07976" w:rsidRPr="004259D0">
        <w:rPr>
          <w:lang w:val="hr-HR"/>
        </w:rPr>
        <w:t xml:space="preserve">RH </w:t>
      </w:r>
      <w:r w:rsidRPr="004259D0">
        <w:rPr>
          <w:lang w:val="hr-HR"/>
        </w:rPr>
        <w:t xml:space="preserve">Vijećem EU. </w:t>
      </w:r>
    </w:p>
    <w:p w14:paraId="02083261" w14:textId="60640DCF" w:rsidR="00CF09B0" w:rsidRPr="004259D0" w:rsidRDefault="00CF09B0" w:rsidP="00CF09B0">
      <w:pPr>
        <w:jc w:val="both"/>
        <w:rPr>
          <w:lang w:val="hr-HR"/>
        </w:rPr>
      </w:pPr>
      <w:r w:rsidRPr="004259D0">
        <w:rPr>
          <w:lang w:val="hr-HR"/>
        </w:rPr>
        <w:t>Rashodi za subvencije</w:t>
      </w:r>
      <w:r w:rsidR="00414113" w:rsidRPr="004259D0">
        <w:rPr>
          <w:lang w:val="hr-HR"/>
        </w:rPr>
        <w:t xml:space="preserve"> u 2020. bilježe porast na 1,</w:t>
      </w:r>
      <w:r w:rsidR="007D372A" w:rsidRPr="004259D0">
        <w:rPr>
          <w:lang w:val="hr-HR"/>
        </w:rPr>
        <w:t>8</w:t>
      </w:r>
      <w:r w:rsidR="00414113" w:rsidRPr="004259D0">
        <w:rPr>
          <w:lang w:val="hr-HR"/>
        </w:rPr>
        <w:t>% BDP-a ponajprije kao posljedica povećanja poticaja HROTE-a za proizvođače energije iz obnovljivih izvora. U narednim godinama, zadržat će razinu</w:t>
      </w:r>
      <w:r w:rsidR="007D372A" w:rsidRPr="004259D0">
        <w:rPr>
          <w:lang w:val="hr-HR"/>
        </w:rPr>
        <w:t xml:space="preserve"> od 1,8% BDP-a odnosno 1,7% BDP-a</w:t>
      </w:r>
      <w:r w:rsidRPr="004259D0">
        <w:rPr>
          <w:lang w:val="hr-HR"/>
        </w:rPr>
        <w:t xml:space="preserve">. </w:t>
      </w:r>
    </w:p>
    <w:p w14:paraId="0F816EA9" w14:textId="3142929D" w:rsidR="00CF09B0" w:rsidRPr="004259D0" w:rsidRDefault="00CF09B0" w:rsidP="00CF09B0">
      <w:pPr>
        <w:jc w:val="both"/>
        <w:rPr>
          <w:lang w:val="hr-HR"/>
        </w:rPr>
      </w:pPr>
      <w:r w:rsidRPr="004259D0">
        <w:rPr>
          <w:lang w:val="hr-HR"/>
        </w:rPr>
        <w:t>Rashodi za dohodak od vlasništva, koji su najvećim dijelom određeni kretanjem rashoda za kamate, bilježe prosječnu razinu od 1,</w:t>
      </w:r>
      <w:r w:rsidR="00E2732C" w:rsidRPr="004259D0">
        <w:rPr>
          <w:lang w:val="hr-HR"/>
        </w:rPr>
        <w:t>9</w:t>
      </w:r>
      <w:r w:rsidRPr="004259D0">
        <w:rPr>
          <w:lang w:val="hr-HR"/>
        </w:rPr>
        <w:t xml:space="preserve">% BDP-a u srednjoročnom razdoblju. </w:t>
      </w:r>
    </w:p>
    <w:p w14:paraId="737EFE71" w14:textId="4DFFA113" w:rsidR="00CF09B0" w:rsidRPr="004259D0" w:rsidRDefault="00CF09B0" w:rsidP="00CF09B0">
      <w:pPr>
        <w:jc w:val="both"/>
        <w:rPr>
          <w:lang w:val="hr-HR"/>
        </w:rPr>
      </w:pPr>
      <w:r w:rsidRPr="004259D0">
        <w:rPr>
          <w:lang w:val="hr-HR"/>
        </w:rPr>
        <w:t xml:space="preserve">Socijalne naknade i socijalni transferi kretat će se na prosječnoj razini od </w:t>
      </w:r>
      <w:r w:rsidR="00154740" w:rsidRPr="004259D0">
        <w:rPr>
          <w:lang w:val="hr-HR"/>
        </w:rPr>
        <w:t>15,2</w:t>
      </w:r>
      <w:r w:rsidRPr="004259D0">
        <w:rPr>
          <w:lang w:val="hr-HR"/>
        </w:rPr>
        <w:t xml:space="preserve">% BDP-a. Pritom je predviđen porast izdvajanja za mirovine kao rezultat indeksacije mirovina i očekivanog kretanja broja umirovljenika. Također, u ovu kategoriju uključen je </w:t>
      </w:r>
      <w:r w:rsidR="00B07976" w:rsidRPr="004259D0">
        <w:rPr>
          <w:lang w:val="hr-HR"/>
        </w:rPr>
        <w:t xml:space="preserve">i </w:t>
      </w:r>
      <w:r w:rsidRPr="004259D0">
        <w:rPr>
          <w:lang w:val="hr-HR"/>
        </w:rPr>
        <w:t xml:space="preserve">cjelogodišnji učinak </w:t>
      </w:r>
      <w:r w:rsidRPr="004259D0">
        <w:rPr>
          <w:rFonts w:ascii="Calibri" w:hAnsi="Calibri"/>
          <w:lang w:val="hr-HR"/>
        </w:rPr>
        <w:t>podignut</w:t>
      </w:r>
      <w:r w:rsidR="00B07976" w:rsidRPr="004259D0">
        <w:rPr>
          <w:rFonts w:ascii="Calibri" w:hAnsi="Calibri"/>
          <w:lang w:val="hr-HR"/>
        </w:rPr>
        <w:t>e</w:t>
      </w:r>
      <w:r w:rsidRPr="004259D0">
        <w:rPr>
          <w:rFonts w:ascii="Calibri" w:hAnsi="Calibri"/>
          <w:lang w:val="hr-HR"/>
        </w:rPr>
        <w:t xml:space="preserve"> razin</w:t>
      </w:r>
      <w:r w:rsidR="00B07976" w:rsidRPr="004259D0">
        <w:rPr>
          <w:rFonts w:ascii="Calibri" w:hAnsi="Calibri"/>
          <w:lang w:val="hr-HR"/>
        </w:rPr>
        <w:t>e</w:t>
      </w:r>
      <w:r w:rsidRPr="004259D0">
        <w:rPr>
          <w:rFonts w:ascii="Calibri" w:hAnsi="Calibri"/>
          <w:lang w:val="hr-HR"/>
        </w:rPr>
        <w:t xml:space="preserve"> dohodovnog cenzusa kao uvjeta za ostvarivanje prava na doplatak za djecu </w:t>
      </w:r>
      <w:r w:rsidRPr="004259D0">
        <w:rPr>
          <w:lang w:val="hr-HR"/>
        </w:rPr>
        <w:t>te poveća</w:t>
      </w:r>
      <w:r w:rsidR="00B07976" w:rsidRPr="004259D0">
        <w:rPr>
          <w:lang w:val="hr-HR"/>
        </w:rPr>
        <w:t>nj</w:t>
      </w:r>
      <w:r w:rsidRPr="004259D0">
        <w:rPr>
          <w:lang w:val="hr-HR"/>
        </w:rPr>
        <w:t>a iznos</w:t>
      </w:r>
      <w:r w:rsidR="00B07976" w:rsidRPr="004259D0">
        <w:rPr>
          <w:lang w:val="hr-HR"/>
        </w:rPr>
        <w:t>a osobne invalidnine i doplat</w:t>
      </w:r>
      <w:r w:rsidRPr="004259D0">
        <w:rPr>
          <w:lang w:val="hr-HR"/>
        </w:rPr>
        <w:t>k</w:t>
      </w:r>
      <w:r w:rsidR="00B07976" w:rsidRPr="004259D0">
        <w:rPr>
          <w:lang w:val="hr-HR"/>
        </w:rPr>
        <w:t>a</w:t>
      </w:r>
      <w:r w:rsidRPr="004259D0">
        <w:rPr>
          <w:lang w:val="hr-HR"/>
        </w:rPr>
        <w:t xml:space="preserve"> za pomoć i njegu</w:t>
      </w:r>
      <w:r w:rsidR="00B07976" w:rsidRPr="004259D0">
        <w:rPr>
          <w:lang w:val="hr-HR"/>
        </w:rPr>
        <w:t xml:space="preserve"> iz 2018. godine.</w:t>
      </w:r>
    </w:p>
    <w:p w14:paraId="69F43CF8" w14:textId="1591D30D" w:rsidR="00CF09B0" w:rsidRPr="004259D0" w:rsidRDefault="00CF09B0" w:rsidP="00CF09B0">
      <w:pPr>
        <w:jc w:val="both"/>
        <w:rPr>
          <w:lang w:val="hr-HR"/>
        </w:rPr>
      </w:pPr>
      <w:r w:rsidRPr="004259D0">
        <w:rPr>
          <w:lang w:val="hr-HR"/>
        </w:rPr>
        <w:t xml:space="preserve">Ostali rashodi, koji se u glavnini odnose na ostale tekuće i kapitalne transfere, </w:t>
      </w:r>
      <w:r w:rsidR="00E2732C" w:rsidRPr="004259D0">
        <w:rPr>
          <w:lang w:val="hr-HR"/>
        </w:rPr>
        <w:t>smanjuju</w:t>
      </w:r>
      <w:r w:rsidRPr="004259D0">
        <w:rPr>
          <w:lang w:val="hr-HR"/>
        </w:rPr>
        <w:t xml:space="preserve"> svoj udio u bruto domaćem proizvodu s 3,</w:t>
      </w:r>
      <w:r w:rsidR="00154740" w:rsidRPr="004259D0">
        <w:rPr>
          <w:lang w:val="hr-HR"/>
        </w:rPr>
        <w:t>1</w:t>
      </w:r>
      <w:r w:rsidRPr="004259D0">
        <w:rPr>
          <w:lang w:val="hr-HR"/>
        </w:rPr>
        <w:t xml:space="preserve">% u 2020. na </w:t>
      </w:r>
      <w:r w:rsidR="00154740" w:rsidRPr="004259D0">
        <w:rPr>
          <w:lang w:val="hr-HR"/>
        </w:rPr>
        <w:t>2,9</w:t>
      </w:r>
      <w:r w:rsidRPr="004259D0">
        <w:rPr>
          <w:lang w:val="hr-HR"/>
        </w:rPr>
        <w:t xml:space="preserve">% u 2022. godini. </w:t>
      </w:r>
    </w:p>
    <w:p w14:paraId="59D3E31D" w14:textId="13FEE674" w:rsidR="00CF09B0" w:rsidRPr="004259D0" w:rsidRDefault="00CF09B0" w:rsidP="00CF09B0">
      <w:pPr>
        <w:jc w:val="both"/>
        <w:rPr>
          <w:lang w:val="hr-HR"/>
        </w:rPr>
      </w:pPr>
      <w:r w:rsidRPr="004259D0">
        <w:rPr>
          <w:lang w:val="hr-HR"/>
        </w:rPr>
        <w:t xml:space="preserve">Rashodi za bruto investicije u fiksni kapital kretat će se na prosječnoj razini od </w:t>
      </w:r>
      <w:r w:rsidR="00E2732C" w:rsidRPr="004259D0">
        <w:rPr>
          <w:lang w:val="hr-HR"/>
        </w:rPr>
        <w:t>4,</w:t>
      </w:r>
      <w:r w:rsidR="00D63376" w:rsidRPr="004259D0">
        <w:rPr>
          <w:lang w:val="hr-HR"/>
        </w:rPr>
        <w:t>0</w:t>
      </w:r>
      <w:r w:rsidRPr="004259D0">
        <w:rPr>
          <w:lang w:val="hr-HR"/>
        </w:rPr>
        <w:t xml:space="preserve">% BDP-a u promatranom srednjoročnom razdoblju. Ovi rashodi određeni su planiranom dinamikom investicija izvanproračunskih korisnika i javnih poduzeća, a u velikom dijelu se financiraju iz sredstava EU. </w:t>
      </w:r>
    </w:p>
    <w:p w14:paraId="30BCB464" w14:textId="77777777" w:rsidR="003529CC" w:rsidRPr="004259D0" w:rsidRDefault="003529CC" w:rsidP="003529CC">
      <w:pPr>
        <w:rPr>
          <w:lang w:val="hr-HR"/>
        </w:rPr>
      </w:pPr>
    </w:p>
    <w:p w14:paraId="52612689" w14:textId="77777777" w:rsidR="003529CC" w:rsidRPr="004259D0" w:rsidRDefault="003529CC" w:rsidP="003529CC">
      <w:pPr>
        <w:pStyle w:val="Subtitle"/>
        <w:numPr>
          <w:ilvl w:val="0"/>
          <w:numId w:val="0"/>
        </w:numPr>
        <w:rPr>
          <w:lang w:val="hr-HR"/>
        </w:rPr>
      </w:pPr>
      <w:r w:rsidRPr="004259D0">
        <w:rPr>
          <w:lang w:val="hr-HR"/>
        </w:rPr>
        <w:t xml:space="preserve">Neto pozajmljivanje/zaduživanje </w:t>
      </w:r>
    </w:p>
    <w:p w14:paraId="7410372C" w14:textId="220631F9" w:rsidR="00CF09B0" w:rsidRPr="004259D0" w:rsidRDefault="00CF09B0" w:rsidP="00CF09B0">
      <w:pPr>
        <w:rPr>
          <w:lang w:val="hr-HR"/>
        </w:rPr>
      </w:pPr>
      <w:r w:rsidRPr="004259D0">
        <w:rPr>
          <w:lang w:val="hr-HR"/>
        </w:rPr>
        <w:t xml:space="preserve">U skladu s projiciranim kretanjima prihoda i rashoda proračuna opće države, u 2020. očekuje se </w:t>
      </w:r>
      <w:r w:rsidR="00EA53AF" w:rsidRPr="004259D0">
        <w:rPr>
          <w:lang w:val="hr-HR"/>
        </w:rPr>
        <w:t>višak od 0,2</w:t>
      </w:r>
      <w:r w:rsidRPr="004259D0">
        <w:rPr>
          <w:lang w:val="hr-HR"/>
        </w:rPr>
        <w:t xml:space="preserve">% BDP-a, u 2021. </w:t>
      </w:r>
      <w:r w:rsidR="00EA53AF" w:rsidRPr="004259D0">
        <w:rPr>
          <w:lang w:val="hr-HR"/>
        </w:rPr>
        <w:t>višak od 0,</w:t>
      </w:r>
      <w:r w:rsidR="00FD3381" w:rsidRPr="004259D0">
        <w:rPr>
          <w:lang w:val="hr-HR"/>
        </w:rPr>
        <w:t>4</w:t>
      </w:r>
      <w:r w:rsidR="00EA53AF" w:rsidRPr="004259D0">
        <w:rPr>
          <w:lang w:val="hr-HR"/>
        </w:rPr>
        <w:t>% BDP-a</w:t>
      </w:r>
      <w:r w:rsidRPr="004259D0">
        <w:rPr>
          <w:lang w:val="hr-HR"/>
        </w:rPr>
        <w:t>, a u 2022. godini višak od 0,</w:t>
      </w:r>
      <w:r w:rsidR="00FD3381" w:rsidRPr="004259D0">
        <w:rPr>
          <w:lang w:val="hr-HR"/>
        </w:rPr>
        <w:t>8</w:t>
      </w:r>
      <w:r w:rsidRPr="004259D0">
        <w:rPr>
          <w:lang w:val="hr-HR"/>
        </w:rPr>
        <w:t>% BDP-a.</w:t>
      </w:r>
    </w:p>
    <w:p w14:paraId="2D219849" w14:textId="77777777" w:rsidR="005E5732" w:rsidRPr="004259D0" w:rsidRDefault="005E5732" w:rsidP="003529CC">
      <w:pPr>
        <w:jc w:val="both"/>
        <w:rPr>
          <w:lang w:val="hr-HR"/>
        </w:rPr>
      </w:pPr>
    </w:p>
    <w:p w14:paraId="3DED7E68" w14:textId="77777777" w:rsidR="00267AEA" w:rsidRPr="004259D0" w:rsidRDefault="00267AEA" w:rsidP="003529CC">
      <w:pPr>
        <w:jc w:val="both"/>
        <w:rPr>
          <w:lang w:val="hr-HR"/>
        </w:rPr>
      </w:pPr>
    </w:p>
    <w:p w14:paraId="1A628E00" w14:textId="77777777" w:rsidR="00AE6FDC" w:rsidRPr="004259D0" w:rsidRDefault="00AE6FDC" w:rsidP="008160DF">
      <w:pPr>
        <w:pStyle w:val="Heading2"/>
        <w:numPr>
          <w:ilvl w:val="1"/>
          <w:numId w:val="1"/>
        </w:numPr>
        <w:rPr>
          <w:lang w:val="hr-HR"/>
        </w:rPr>
      </w:pPr>
      <w:bookmarkStart w:id="27" w:name="_Toc6418621"/>
      <w:r w:rsidRPr="004259D0">
        <w:rPr>
          <w:lang w:val="hr-HR"/>
        </w:rPr>
        <w:t xml:space="preserve">Procjena </w:t>
      </w:r>
      <w:r w:rsidR="009D64C5" w:rsidRPr="004259D0">
        <w:rPr>
          <w:lang w:val="hr-HR"/>
        </w:rPr>
        <w:t>strukturnog salda i srednjoročni proračunski cilj (MTO)</w:t>
      </w:r>
      <w:bookmarkEnd w:id="27"/>
    </w:p>
    <w:p w14:paraId="51EE535E" w14:textId="77777777" w:rsidR="0096473C" w:rsidRPr="004259D0" w:rsidRDefault="0096473C" w:rsidP="00A87290">
      <w:pPr>
        <w:spacing w:after="240"/>
        <w:jc w:val="both"/>
        <w:rPr>
          <w:lang w:val="hr-HR"/>
        </w:rPr>
      </w:pPr>
    </w:p>
    <w:p w14:paraId="57383E3A" w14:textId="77777777" w:rsidR="00426723" w:rsidRPr="004259D0" w:rsidRDefault="00426723" w:rsidP="00426723">
      <w:pPr>
        <w:jc w:val="both"/>
        <w:rPr>
          <w:lang w:val="hr-HR"/>
        </w:rPr>
      </w:pPr>
      <w:r w:rsidRPr="004259D0">
        <w:rPr>
          <w:lang w:val="hr-HR"/>
        </w:rPr>
        <w:t>Strukturni saldo predstavlja manjak odnosno višak proračuna opće države koji ne uključuje cikličke ekonomske učinke i jednokratne te privremene mjere koje imaju utjecaj na prihode odnosno rashode proračuna. Izračun ciklički prilagođenog salda temeljen je na metodologiji</w:t>
      </w:r>
      <w:r w:rsidRPr="004259D0">
        <w:rPr>
          <w:rStyle w:val="FootnoteReference"/>
          <w:lang w:val="hr-HR"/>
        </w:rPr>
        <w:footnoteReference w:id="40"/>
      </w:r>
      <w:r w:rsidRPr="004259D0">
        <w:rPr>
          <w:lang w:val="hr-HR"/>
        </w:rPr>
        <w:t xml:space="preserve"> i izračunima EK za države članice EU te su kao ciklički osjetljive komponente na prihodnoj strani promatrani porez na dohodak, porez na dobit, indirektni porezi, doprinosi za socijalno osiguranje te neporezna davanja, dok su na rashodnoj strani promatrane naknade za nezaposlene. Srednjoročni proračunski cilj (MTO) odnosi se na iznos strukturnog proračunskog salda koji osigurava da kretanje manjka proračuna opće države i javnog duga bude u skladu s odredbama Pakta o stabilnosti i rastu. </w:t>
      </w:r>
    </w:p>
    <w:p w14:paraId="1BA84D1D" w14:textId="73B796A3" w:rsidR="00637B29" w:rsidRPr="004259D0" w:rsidRDefault="00426723" w:rsidP="00426723">
      <w:pPr>
        <w:spacing w:after="240"/>
        <w:jc w:val="both"/>
        <w:rPr>
          <w:lang w:val="hr-HR"/>
        </w:rPr>
      </w:pPr>
      <w:r w:rsidRPr="004259D0">
        <w:rPr>
          <w:lang w:val="hr-HR"/>
        </w:rPr>
        <w:t xml:space="preserve">Početkom 2016. godine, Odbor za ekonomska i financijska pitanja utvrdio je minimalni srednjoročni proračunski cilj za RH od -1,75% BDP-a za razdoblje 2017. - 2019., a koji je RH potvrdila kao svoj cilj u Programu konvergencije iz 2016. godine. U okviru redovite revizije srednjoročnog proračunskoga cilja, koja se provodi svake tri godine, Odbor za ekonomska i financijska pitanja je početkom 2019. godine utvrdio minimalni cilj za RH od -1,25% BDP-a, koji će vrijediti u razdoblju 2020. </w:t>
      </w:r>
      <w:r w:rsidR="00267AEA" w:rsidRPr="004259D0">
        <w:rPr>
          <w:lang w:val="hr-HR"/>
        </w:rPr>
        <w:t>-</w:t>
      </w:r>
      <w:r w:rsidRPr="004259D0">
        <w:rPr>
          <w:lang w:val="hr-HR"/>
        </w:rPr>
        <w:t xml:space="preserve"> 2022. </w:t>
      </w:r>
    </w:p>
    <w:p w14:paraId="23B82046" w14:textId="7A51DA5F" w:rsidR="00426723" w:rsidRPr="004259D0" w:rsidRDefault="00426723" w:rsidP="00426723">
      <w:pPr>
        <w:spacing w:after="240"/>
        <w:jc w:val="both"/>
        <w:rPr>
          <w:b/>
          <w:lang w:val="hr-HR"/>
        </w:rPr>
      </w:pPr>
      <w:r w:rsidRPr="004259D0">
        <w:rPr>
          <w:b/>
          <w:lang w:val="hr-HR"/>
        </w:rPr>
        <w:t>Obzirom na planove RH vezano uz pristupanje tečajnom mehanizmu ERM</w:t>
      </w:r>
      <w:r w:rsidR="00C16498" w:rsidRPr="004259D0">
        <w:rPr>
          <w:b/>
          <w:lang w:val="hr-HR"/>
        </w:rPr>
        <w:t xml:space="preserve"> II</w:t>
      </w:r>
      <w:r w:rsidRPr="004259D0">
        <w:rPr>
          <w:b/>
          <w:lang w:val="hr-HR"/>
        </w:rPr>
        <w:t xml:space="preserve">, RH se ovim Programom konvergencije obvezuje na ambiciozniji srednjoročni proračunski cilj od </w:t>
      </w:r>
      <w:r w:rsidR="00637B29" w:rsidRPr="004259D0">
        <w:rPr>
          <w:b/>
          <w:lang w:val="hr-HR"/>
        </w:rPr>
        <w:t>-1,0% BDP-a, koji je u skladu s restriktivnijim uvjetima koj</w:t>
      </w:r>
      <w:r w:rsidR="00D00DB8" w:rsidRPr="004259D0">
        <w:rPr>
          <w:b/>
          <w:lang w:val="hr-HR"/>
        </w:rPr>
        <w:t>e</w:t>
      </w:r>
      <w:r w:rsidRPr="004259D0">
        <w:rPr>
          <w:b/>
          <w:lang w:val="hr-HR"/>
        </w:rPr>
        <w:t xml:space="preserve"> moraju poštivati države članic</w:t>
      </w:r>
      <w:r w:rsidR="00637B29" w:rsidRPr="004259D0">
        <w:rPr>
          <w:b/>
          <w:lang w:val="hr-HR"/>
        </w:rPr>
        <w:t>e</w:t>
      </w:r>
      <w:r w:rsidRPr="004259D0">
        <w:rPr>
          <w:b/>
          <w:lang w:val="hr-HR"/>
        </w:rPr>
        <w:t xml:space="preserve"> tečajnog mehanizma ERM</w:t>
      </w:r>
      <w:r w:rsidR="00C16498" w:rsidRPr="004259D0">
        <w:rPr>
          <w:b/>
          <w:lang w:val="hr-HR"/>
        </w:rPr>
        <w:t xml:space="preserve"> II</w:t>
      </w:r>
      <w:r w:rsidRPr="004259D0">
        <w:rPr>
          <w:b/>
          <w:lang w:val="hr-HR"/>
        </w:rPr>
        <w:t>.</w:t>
      </w:r>
    </w:p>
    <w:p w14:paraId="4C3D92BB" w14:textId="3B05DA27" w:rsidR="00410D8B" w:rsidRPr="004259D0" w:rsidRDefault="00426723" w:rsidP="00426723">
      <w:pPr>
        <w:spacing w:after="240"/>
        <w:jc w:val="both"/>
        <w:rPr>
          <w:lang w:val="hr-HR"/>
        </w:rPr>
      </w:pPr>
      <w:r w:rsidRPr="004259D0">
        <w:rPr>
          <w:lang w:val="hr-HR"/>
        </w:rPr>
        <w:t>Prema izračunima Ministarstva financija, RH je u 2018. godini ostvarila strukturni višak od 0,</w:t>
      </w:r>
      <w:r w:rsidR="00AB3DEB" w:rsidRPr="004259D0">
        <w:rPr>
          <w:lang w:val="hr-HR"/>
        </w:rPr>
        <w:t>3</w:t>
      </w:r>
      <w:r w:rsidRPr="004259D0">
        <w:rPr>
          <w:lang w:val="hr-HR"/>
        </w:rPr>
        <w:t xml:space="preserve">% BDP-a, čime je znatno nadmašen njen srednjoročni proračunski cilj. </w:t>
      </w:r>
      <w:r w:rsidR="00034C16" w:rsidRPr="004259D0">
        <w:rPr>
          <w:lang w:val="hr-HR"/>
        </w:rPr>
        <w:t>Pritom</w:t>
      </w:r>
      <w:r w:rsidR="00410D8B" w:rsidRPr="004259D0">
        <w:rPr>
          <w:lang w:val="hr-HR"/>
        </w:rPr>
        <w:t xml:space="preserve"> je ukupni manjak/višak opće države u 2018. korigiran za </w:t>
      </w:r>
      <w:r w:rsidR="00DE740A" w:rsidRPr="004259D0">
        <w:rPr>
          <w:lang w:val="hr-HR"/>
        </w:rPr>
        <w:t>jednokratni trošak</w:t>
      </w:r>
      <w:r w:rsidR="00410D8B" w:rsidRPr="004259D0">
        <w:rPr>
          <w:lang w:val="hr-HR"/>
        </w:rPr>
        <w:t xml:space="preserve"> po protestiranim jamstvima </w:t>
      </w:r>
      <w:r w:rsidR="00DE740A" w:rsidRPr="004259D0">
        <w:rPr>
          <w:lang w:val="hr-HR"/>
        </w:rPr>
        <w:t xml:space="preserve">za </w:t>
      </w:r>
      <w:r w:rsidR="00410D8B" w:rsidRPr="004259D0">
        <w:rPr>
          <w:lang w:val="hr-HR"/>
        </w:rPr>
        <w:t>Uljanik grup</w:t>
      </w:r>
      <w:r w:rsidR="00DE740A" w:rsidRPr="004259D0">
        <w:rPr>
          <w:lang w:val="hr-HR"/>
        </w:rPr>
        <w:t>u</w:t>
      </w:r>
      <w:r w:rsidR="00410D8B" w:rsidRPr="004259D0">
        <w:rPr>
          <w:lang w:val="hr-HR"/>
        </w:rPr>
        <w:t xml:space="preserve"> u iznosu od 2,5 milijardi kuna ili 0,7% BDP-a. </w:t>
      </w:r>
    </w:p>
    <w:p w14:paraId="69BADD44" w14:textId="1CD80263" w:rsidR="00426723" w:rsidRPr="004259D0" w:rsidRDefault="00410D8B" w:rsidP="00426723">
      <w:pPr>
        <w:spacing w:after="240"/>
        <w:jc w:val="both"/>
        <w:rPr>
          <w:lang w:val="hr-HR"/>
        </w:rPr>
      </w:pPr>
      <w:r w:rsidRPr="004259D0">
        <w:rPr>
          <w:lang w:val="hr-HR"/>
        </w:rPr>
        <w:t>Fiska</w:t>
      </w:r>
      <w:r w:rsidR="00426723" w:rsidRPr="004259D0">
        <w:rPr>
          <w:lang w:val="hr-HR"/>
        </w:rPr>
        <w:t xml:space="preserve">lne projekcije RH predstavljene u ovom dokumentu ukazuju da RH ispunjava srednjoročni proračunski cilj u čitavom projekcijskom razdoblju. Naime, planirani strukturni saldo u 2019. iznosi </w:t>
      </w:r>
      <w:r w:rsidR="004D0D5F" w:rsidRPr="004259D0">
        <w:rPr>
          <w:lang w:val="hr-HR"/>
        </w:rPr>
        <w:t xml:space="preserve">    </w:t>
      </w:r>
      <w:r w:rsidR="00426723" w:rsidRPr="004259D0">
        <w:rPr>
          <w:lang w:val="hr-HR"/>
        </w:rPr>
        <w:t xml:space="preserve">-0,9% BDP-a, čime je i dalje znatno premašen </w:t>
      </w:r>
      <w:r w:rsidR="00D20BDB" w:rsidRPr="004259D0">
        <w:rPr>
          <w:lang w:val="hr-HR"/>
        </w:rPr>
        <w:t>cilj</w:t>
      </w:r>
      <w:r w:rsidR="00426723" w:rsidRPr="004259D0">
        <w:rPr>
          <w:lang w:val="hr-HR"/>
        </w:rPr>
        <w:t xml:space="preserve"> od -1,75% BDP-a definiran za razdoblje 2017.</w:t>
      </w:r>
      <w:r w:rsidR="00267AEA" w:rsidRPr="004259D0">
        <w:rPr>
          <w:lang w:val="hr-HR"/>
        </w:rPr>
        <w:t xml:space="preserve"> </w:t>
      </w:r>
      <w:r w:rsidR="00426723" w:rsidRPr="004259D0">
        <w:rPr>
          <w:lang w:val="hr-HR"/>
        </w:rPr>
        <w:t>-</w:t>
      </w:r>
      <w:r w:rsidR="00267AEA" w:rsidRPr="004259D0">
        <w:rPr>
          <w:lang w:val="hr-HR"/>
        </w:rPr>
        <w:t xml:space="preserve"> </w:t>
      </w:r>
      <w:r w:rsidR="00426723" w:rsidRPr="004259D0">
        <w:rPr>
          <w:lang w:val="hr-HR"/>
        </w:rPr>
        <w:t>2019. Nadalje, u razdoblju 2020.</w:t>
      </w:r>
      <w:r w:rsidR="00267AEA" w:rsidRPr="004259D0">
        <w:rPr>
          <w:lang w:val="hr-HR"/>
        </w:rPr>
        <w:t xml:space="preserve"> -</w:t>
      </w:r>
      <w:r w:rsidR="00426723" w:rsidRPr="004259D0">
        <w:rPr>
          <w:lang w:val="hr-HR"/>
        </w:rPr>
        <w:t xml:space="preserve"> 2022. očekuje se da će se strukturni saldo kretati u rasponu od -0,7</w:t>
      </w:r>
      <w:r w:rsidR="00034C16" w:rsidRPr="004259D0">
        <w:rPr>
          <w:lang w:val="hr-HR"/>
        </w:rPr>
        <w:t>%</w:t>
      </w:r>
      <w:r w:rsidR="00426723" w:rsidRPr="004259D0">
        <w:rPr>
          <w:lang w:val="hr-HR"/>
        </w:rPr>
        <w:t xml:space="preserve"> do</w:t>
      </w:r>
      <w:r w:rsidR="004D0D5F" w:rsidRPr="004259D0">
        <w:rPr>
          <w:lang w:val="hr-HR"/>
        </w:rPr>
        <w:t xml:space="preserve">  </w:t>
      </w:r>
      <w:r w:rsidR="00426723" w:rsidRPr="004259D0">
        <w:rPr>
          <w:lang w:val="hr-HR"/>
        </w:rPr>
        <w:t xml:space="preserve">-0,3 </w:t>
      </w:r>
      <w:r w:rsidR="00034C16" w:rsidRPr="004259D0">
        <w:rPr>
          <w:lang w:val="hr-HR"/>
        </w:rPr>
        <w:t>%</w:t>
      </w:r>
      <w:r w:rsidR="00426723" w:rsidRPr="004259D0">
        <w:rPr>
          <w:lang w:val="hr-HR"/>
        </w:rPr>
        <w:t xml:space="preserve"> BDP-a te će se u svim godinama nalaziti iznad srednjoročnog proračunskog cilja od -1,0% BDP-a. Time se osigurava održivo kretanje manjka proračuna opće države i javnog duga.</w:t>
      </w:r>
      <w:r w:rsidRPr="004259D0">
        <w:rPr>
          <w:lang w:val="hr-HR"/>
        </w:rPr>
        <w:t xml:space="preserve"> Važno je napomenuti kako je u 2019. </w:t>
      </w:r>
      <w:r w:rsidR="00744320" w:rsidRPr="004259D0">
        <w:rPr>
          <w:lang w:val="hr-HR"/>
        </w:rPr>
        <w:t xml:space="preserve">godini </w:t>
      </w:r>
      <w:r w:rsidRPr="004259D0">
        <w:rPr>
          <w:lang w:val="hr-HR"/>
        </w:rPr>
        <w:t xml:space="preserve">u izračun ukupnog manjka/viška korigiranog za jednokratne mjere uključen i jednokratni trošak po protestiranim jamstvima za Uljanik grupu u iznosu od 1 milijarde kuna te jednokratni trošak za pripreme predsjedanja RH Vijećem EU u iznosu od 200 milijuna kuna. Drugim riječima, ukupni jednokratni trošak u 2019. </w:t>
      </w:r>
      <w:r w:rsidR="00744320" w:rsidRPr="004259D0">
        <w:rPr>
          <w:lang w:val="hr-HR"/>
        </w:rPr>
        <w:t xml:space="preserve">godini </w:t>
      </w:r>
      <w:r w:rsidRPr="004259D0">
        <w:rPr>
          <w:lang w:val="hr-HR"/>
        </w:rPr>
        <w:t xml:space="preserve">iznosi </w:t>
      </w:r>
      <w:r w:rsidR="00D20BDB" w:rsidRPr="004259D0">
        <w:rPr>
          <w:lang w:val="hr-HR"/>
        </w:rPr>
        <w:t xml:space="preserve">1,2 milijarde kuna ili </w:t>
      </w:r>
      <w:r w:rsidRPr="004259D0">
        <w:rPr>
          <w:lang w:val="hr-HR"/>
        </w:rPr>
        <w:t>0,3% BDP-a.</w:t>
      </w:r>
      <w:r w:rsidR="00DE740A" w:rsidRPr="004259D0">
        <w:rPr>
          <w:lang w:val="hr-HR"/>
        </w:rPr>
        <w:t xml:space="preserve"> Nadalje, u 2020. godini u izračun je uključen jednokratn</w:t>
      </w:r>
      <w:r w:rsidR="00D00DB8" w:rsidRPr="004259D0">
        <w:rPr>
          <w:lang w:val="hr-HR"/>
        </w:rPr>
        <w:t>i trošak</w:t>
      </w:r>
      <w:r w:rsidR="00DE740A" w:rsidRPr="004259D0">
        <w:rPr>
          <w:lang w:val="hr-HR"/>
        </w:rPr>
        <w:t xml:space="preserve"> predsjedanja RH Vijećem EU u iznosu od 400 milijuna kuna ili 0,1% BDP-a.</w:t>
      </w:r>
    </w:p>
    <w:p w14:paraId="267FE93B" w14:textId="6E7CE0D3" w:rsidR="00BD192E" w:rsidRPr="004259D0" w:rsidRDefault="00F966E4" w:rsidP="00A87290">
      <w:pPr>
        <w:spacing w:after="0"/>
        <w:jc w:val="both"/>
        <w:rPr>
          <w:i/>
          <w:lang w:val="hr-HR"/>
        </w:rPr>
      </w:pPr>
      <w:bookmarkStart w:id="28" w:name="_Toc6418638"/>
      <w:r w:rsidRPr="004259D0">
        <w:rPr>
          <w:i/>
          <w:lang w:val="hr-HR"/>
        </w:rPr>
        <w:t xml:space="preserve">Tablica </w:t>
      </w:r>
      <w:r w:rsidR="00821428" w:rsidRPr="004259D0">
        <w:rPr>
          <w:i/>
          <w:lang w:val="hr-HR"/>
        </w:rPr>
        <w:fldChar w:fldCharType="begin"/>
      </w:r>
      <w:r w:rsidR="00821428" w:rsidRPr="004259D0">
        <w:rPr>
          <w:i/>
          <w:lang w:val="hr-HR"/>
        </w:rPr>
        <w:instrText xml:space="preserve"> STYLEREF 1 \s </w:instrText>
      </w:r>
      <w:r w:rsidR="00821428" w:rsidRPr="004259D0">
        <w:rPr>
          <w:i/>
          <w:lang w:val="hr-HR"/>
        </w:rPr>
        <w:fldChar w:fldCharType="separate"/>
      </w:r>
      <w:r w:rsidR="00572AFD">
        <w:rPr>
          <w:i/>
          <w:noProof/>
          <w:lang w:val="hr-HR"/>
        </w:rPr>
        <w:t>3</w:t>
      </w:r>
      <w:r w:rsidR="00821428" w:rsidRPr="004259D0">
        <w:rPr>
          <w:i/>
          <w:lang w:val="hr-HR"/>
        </w:rPr>
        <w:fldChar w:fldCharType="end"/>
      </w:r>
      <w:r w:rsidR="00821428" w:rsidRPr="004259D0">
        <w:rPr>
          <w:i/>
          <w:lang w:val="hr-HR"/>
        </w:rPr>
        <w:t>.</w:t>
      </w:r>
      <w:r w:rsidR="00821428" w:rsidRPr="004259D0">
        <w:rPr>
          <w:i/>
          <w:lang w:val="hr-HR"/>
        </w:rPr>
        <w:fldChar w:fldCharType="begin"/>
      </w:r>
      <w:r w:rsidR="00821428" w:rsidRPr="004259D0">
        <w:rPr>
          <w:i/>
          <w:lang w:val="hr-HR"/>
        </w:rPr>
        <w:instrText xml:space="preserve"> SEQ Tablica \* ARABIC \s 1 </w:instrText>
      </w:r>
      <w:r w:rsidR="00821428" w:rsidRPr="004259D0">
        <w:rPr>
          <w:i/>
          <w:lang w:val="hr-HR"/>
        </w:rPr>
        <w:fldChar w:fldCharType="separate"/>
      </w:r>
      <w:r w:rsidR="00572AFD">
        <w:rPr>
          <w:i/>
          <w:noProof/>
          <w:lang w:val="hr-HR"/>
        </w:rPr>
        <w:t>2</w:t>
      </w:r>
      <w:r w:rsidR="00821428" w:rsidRPr="004259D0">
        <w:rPr>
          <w:i/>
          <w:lang w:val="hr-HR"/>
        </w:rPr>
        <w:fldChar w:fldCharType="end"/>
      </w:r>
      <w:r w:rsidRPr="004259D0">
        <w:rPr>
          <w:i/>
          <w:lang w:val="hr-HR"/>
        </w:rPr>
        <w:t xml:space="preserve">. Kretanje strukturnog salda konsolidirane opće države </w:t>
      </w:r>
      <w:r w:rsidR="00BB17A9" w:rsidRPr="004259D0">
        <w:rPr>
          <w:i/>
          <w:lang w:val="hr-HR"/>
        </w:rPr>
        <w:t>u razdoblju</w:t>
      </w:r>
      <w:r w:rsidR="00E80146" w:rsidRPr="004259D0">
        <w:rPr>
          <w:i/>
          <w:lang w:val="hr-HR"/>
        </w:rPr>
        <w:t xml:space="preserve"> </w:t>
      </w:r>
      <w:r w:rsidRPr="004259D0">
        <w:rPr>
          <w:i/>
          <w:lang w:val="hr-HR"/>
        </w:rPr>
        <w:t>201</w:t>
      </w:r>
      <w:r w:rsidR="00744320" w:rsidRPr="004259D0">
        <w:rPr>
          <w:i/>
          <w:lang w:val="hr-HR"/>
        </w:rPr>
        <w:t>8</w:t>
      </w:r>
      <w:r w:rsidRPr="004259D0">
        <w:rPr>
          <w:i/>
          <w:lang w:val="hr-HR"/>
        </w:rPr>
        <w:t>.</w:t>
      </w:r>
      <w:r w:rsidR="003B4BB2" w:rsidRPr="004259D0">
        <w:rPr>
          <w:i/>
          <w:lang w:val="hr-HR"/>
        </w:rPr>
        <w:t xml:space="preserve"> </w:t>
      </w:r>
      <w:r w:rsidRPr="004259D0">
        <w:rPr>
          <w:i/>
          <w:lang w:val="hr-HR"/>
        </w:rPr>
        <w:t>-</w:t>
      </w:r>
      <w:r w:rsidR="003B4BB2" w:rsidRPr="004259D0">
        <w:rPr>
          <w:i/>
          <w:lang w:val="hr-HR"/>
        </w:rPr>
        <w:t xml:space="preserve"> </w:t>
      </w:r>
      <w:r w:rsidRPr="004259D0">
        <w:rPr>
          <w:i/>
          <w:lang w:val="hr-HR"/>
        </w:rPr>
        <w:t>20</w:t>
      </w:r>
      <w:r w:rsidR="00281A05" w:rsidRPr="004259D0">
        <w:rPr>
          <w:i/>
          <w:lang w:val="hr-HR"/>
        </w:rPr>
        <w:t>2</w:t>
      </w:r>
      <w:r w:rsidR="00D12C95" w:rsidRPr="004259D0">
        <w:rPr>
          <w:i/>
          <w:lang w:val="hr-HR"/>
        </w:rPr>
        <w:t>2</w:t>
      </w:r>
      <w:r w:rsidRPr="004259D0">
        <w:rPr>
          <w:i/>
          <w:lang w:val="hr-HR"/>
        </w:rPr>
        <w:t>.</w:t>
      </w:r>
      <w:bookmarkEnd w:id="28"/>
    </w:p>
    <w:p w14:paraId="44FDC14D" w14:textId="61DE6932" w:rsidR="00AB3DEB" w:rsidRPr="004259D0" w:rsidRDefault="00715672" w:rsidP="00834118">
      <w:pPr>
        <w:spacing w:after="0"/>
        <w:jc w:val="both"/>
      </w:pPr>
      <w:r w:rsidRPr="004259D0">
        <w:rPr>
          <w:noProof/>
          <w:lang w:val="hr-HR" w:eastAsia="hr-HR"/>
        </w:rPr>
        <w:drawing>
          <wp:inline distT="0" distB="0" distL="0" distR="0" wp14:anchorId="0FD252C2" wp14:editId="574D5C53">
            <wp:extent cx="5760720" cy="1389415"/>
            <wp:effectExtent l="0" t="0" r="0" b="127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389415"/>
                    </a:xfrm>
                    <a:prstGeom prst="rect">
                      <a:avLst/>
                    </a:prstGeom>
                    <a:noFill/>
                    <a:ln>
                      <a:noFill/>
                    </a:ln>
                  </pic:spPr>
                </pic:pic>
              </a:graphicData>
            </a:graphic>
          </wp:inline>
        </w:drawing>
      </w:r>
    </w:p>
    <w:p w14:paraId="4B8F9336" w14:textId="7B142AAB" w:rsidR="00DB01B6" w:rsidRPr="004259D0" w:rsidRDefault="00AB3DEB" w:rsidP="00834118">
      <w:pPr>
        <w:spacing w:after="0"/>
        <w:jc w:val="both"/>
        <w:rPr>
          <w:i/>
          <w:sz w:val="20"/>
          <w:lang w:val="hr-HR"/>
        </w:rPr>
      </w:pPr>
      <w:r w:rsidRPr="004259D0">
        <w:rPr>
          <w:i/>
          <w:sz w:val="20"/>
          <w:lang w:val="hr-HR"/>
        </w:rPr>
        <w:t xml:space="preserve"> </w:t>
      </w:r>
      <w:r w:rsidR="00DB01B6" w:rsidRPr="004259D0">
        <w:rPr>
          <w:i/>
          <w:sz w:val="20"/>
          <w:vertAlign w:val="superscript"/>
          <w:lang w:val="hr-HR"/>
        </w:rPr>
        <w:t>1</w:t>
      </w:r>
      <w:r w:rsidR="00DB01B6" w:rsidRPr="004259D0">
        <w:rPr>
          <w:i/>
          <w:sz w:val="20"/>
          <w:lang w:val="hr-HR"/>
        </w:rPr>
        <w:t xml:space="preserve"> Pozitivan predznak označava jednokratnu mjeru koja smanjuje manjak</w:t>
      </w:r>
    </w:p>
    <w:p w14:paraId="142355C0" w14:textId="5E0F6891" w:rsidR="00F966E4" w:rsidRPr="004259D0" w:rsidRDefault="00F966E4" w:rsidP="00834118">
      <w:pPr>
        <w:spacing w:after="0"/>
        <w:jc w:val="both"/>
      </w:pPr>
      <w:r w:rsidRPr="004259D0">
        <w:rPr>
          <w:i/>
          <w:sz w:val="20"/>
          <w:lang w:val="hr-HR"/>
        </w:rPr>
        <w:t xml:space="preserve">Izvor: </w:t>
      </w:r>
      <w:r w:rsidR="00786724" w:rsidRPr="004259D0">
        <w:rPr>
          <w:i/>
          <w:sz w:val="20"/>
          <w:lang w:val="hr-HR"/>
        </w:rPr>
        <w:t xml:space="preserve">Ministarstvo financija, </w:t>
      </w:r>
      <w:r w:rsidRPr="004259D0">
        <w:rPr>
          <w:i/>
          <w:sz w:val="20"/>
          <w:lang w:val="hr-HR"/>
        </w:rPr>
        <w:t>DZS</w:t>
      </w:r>
    </w:p>
    <w:p w14:paraId="2A9D6E02" w14:textId="77777777" w:rsidR="005E5732" w:rsidRPr="004259D0" w:rsidRDefault="005E5732" w:rsidP="00E0472E">
      <w:pPr>
        <w:rPr>
          <w:lang w:val="hr-HR"/>
        </w:rPr>
      </w:pPr>
    </w:p>
    <w:p w14:paraId="50227F9E" w14:textId="77777777" w:rsidR="00267AEA" w:rsidRPr="004259D0" w:rsidRDefault="00267AEA" w:rsidP="00E0472E">
      <w:pPr>
        <w:rPr>
          <w:lang w:val="hr-HR"/>
        </w:rPr>
      </w:pPr>
    </w:p>
    <w:p w14:paraId="22E0698D" w14:textId="77777777" w:rsidR="00AE6FDC" w:rsidRPr="004259D0" w:rsidRDefault="00AE6FDC" w:rsidP="008160DF">
      <w:pPr>
        <w:pStyle w:val="Heading2"/>
        <w:numPr>
          <w:ilvl w:val="1"/>
          <w:numId w:val="1"/>
        </w:numPr>
        <w:rPr>
          <w:lang w:val="hr-HR"/>
        </w:rPr>
      </w:pPr>
      <w:bookmarkStart w:id="29" w:name="_Toc6418622"/>
      <w:r w:rsidRPr="004259D0">
        <w:rPr>
          <w:lang w:val="hr-HR"/>
        </w:rPr>
        <w:t>Stanje i projekcije kretanja javnog duga te stanje jamstava</w:t>
      </w:r>
      <w:bookmarkEnd w:id="29"/>
      <w:r w:rsidRPr="004259D0">
        <w:rPr>
          <w:lang w:val="hr-HR"/>
        </w:rPr>
        <w:t xml:space="preserve"> </w:t>
      </w:r>
    </w:p>
    <w:p w14:paraId="163E0457" w14:textId="77777777" w:rsidR="00C9153C" w:rsidRPr="004259D0" w:rsidRDefault="00C9153C" w:rsidP="00E80146">
      <w:pPr>
        <w:spacing w:after="240"/>
        <w:jc w:val="both"/>
        <w:rPr>
          <w:rFonts w:ascii="Calibri" w:hAnsi="Calibri"/>
          <w:lang w:val="hr-HR"/>
        </w:rPr>
      </w:pPr>
    </w:p>
    <w:p w14:paraId="64394755" w14:textId="77777777" w:rsidR="00D22850" w:rsidRPr="004259D0" w:rsidRDefault="00D22850" w:rsidP="00D22850">
      <w:pPr>
        <w:numPr>
          <w:ilvl w:val="1"/>
          <w:numId w:val="0"/>
        </w:numPr>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Stanje javnog duga i jamstava</w:t>
      </w:r>
    </w:p>
    <w:p w14:paraId="6DCC8F62" w14:textId="0824860F" w:rsidR="00B97FBE" w:rsidRPr="004259D0" w:rsidRDefault="00B97FBE" w:rsidP="00B97FBE">
      <w:pPr>
        <w:spacing w:after="240"/>
        <w:jc w:val="both"/>
        <w:rPr>
          <w:rFonts w:ascii="Calibri" w:hAnsi="Calibri"/>
          <w:lang w:val="hr-HR"/>
        </w:rPr>
      </w:pPr>
      <w:bookmarkStart w:id="30" w:name="_Toc418144583"/>
      <w:r w:rsidRPr="004259D0">
        <w:rPr>
          <w:rFonts w:ascii="Calibri" w:hAnsi="Calibri"/>
          <w:lang w:val="hr-HR"/>
        </w:rPr>
        <w:t>Prema podacima Hrvatske narodne banke, javni dug je krajem 2018. godine iznosio 28</w:t>
      </w:r>
      <w:r w:rsidR="003F0E99" w:rsidRPr="004259D0">
        <w:rPr>
          <w:rFonts w:ascii="Calibri" w:hAnsi="Calibri"/>
          <w:lang w:val="hr-HR"/>
        </w:rPr>
        <w:t>4</w:t>
      </w:r>
      <w:r w:rsidRPr="004259D0">
        <w:rPr>
          <w:rFonts w:ascii="Calibri" w:hAnsi="Calibri"/>
          <w:lang w:val="hr-HR"/>
        </w:rPr>
        <w:t>,</w:t>
      </w:r>
      <w:r w:rsidR="003F0E99" w:rsidRPr="004259D0">
        <w:rPr>
          <w:rFonts w:ascii="Calibri" w:hAnsi="Calibri"/>
          <w:lang w:val="hr-HR"/>
        </w:rPr>
        <w:t>7</w:t>
      </w:r>
      <w:r w:rsidRPr="004259D0">
        <w:rPr>
          <w:rFonts w:ascii="Calibri" w:hAnsi="Calibri"/>
          <w:lang w:val="hr-HR"/>
        </w:rPr>
        <w:t xml:space="preserve"> milijardi kuna, odnosno 74,</w:t>
      </w:r>
      <w:r w:rsidR="003F0E99" w:rsidRPr="004259D0">
        <w:rPr>
          <w:rFonts w:ascii="Calibri" w:hAnsi="Calibri"/>
          <w:lang w:val="hr-HR"/>
        </w:rPr>
        <w:t>6</w:t>
      </w:r>
      <w:r w:rsidRPr="004259D0">
        <w:rPr>
          <w:rFonts w:ascii="Calibri" w:hAnsi="Calibri"/>
          <w:lang w:val="hr-HR"/>
        </w:rPr>
        <w:t>% BDP-a. Pritom je njegov udio u javnom dugu pao za 3,</w:t>
      </w:r>
      <w:r w:rsidR="003F0E99" w:rsidRPr="004259D0">
        <w:rPr>
          <w:rFonts w:ascii="Calibri" w:hAnsi="Calibri"/>
          <w:lang w:val="hr-HR"/>
        </w:rPr>
        <w:t>2</w:t>
      </w:r>
      <w:r w:rsidRPr="004259D0">
        <w:rPr>
          <w:rFonts w:ascii="Calibri" w:hAnsi="Calibri"/>
          <w:lang w:val="hr-HR"/>
        </w:rPr>
        <w:t xml:space="preserve"> postotn</w:t>
      </w:r>
      <w:r w:rsidR="003F0E99" w:rsidRPr="004259D0">
        <w:rPr>
          <w:rFonts w:ascii="Calibri" w:hAnsi="Calibri"/>
          <w:lang w:val="hr-HR"/>
        </w:rPr>
        <w:t>a</w:t>
      </w:r>
      <w:r w:rsidRPr="004259D0">
        <w:rPr>
          <w:rFonts w:ascii="Calibri" w:hAnsi="Calibri"/>
          <w:lang w:val="hr-HR"/>
        </w:rPr>
        <w:t xml:space="preserve"> boda</w:t>
      </w:r>
      <w:r w:rsidR="003F0E99" w:rsidRPr="004259D0">
        <w:rPr>
          <w:rFonts w:ascii="Calibri" w:hAnsi="Calibri"/>
          <w:lang w:val="hr-HR"/>
        </w:rPr>
        <w:t xml:space="preserve"> u odnosu na prethodnu godinu</w:t>
      </w:r>
      <w:r w:rsidRPr="004259D0">
        <w:rPr>
          <w:rFonts w:ascii="Calibri" w:hAnsi="Calibri"/>
          <w:lang w:val="hr-HR"/>
        </w:rPr>
        <w:t xml:space="preserve">. Ovakva kretanja </w:t>
      </w:r>
      <w:r w:rsidR="00F632C1" w:rsidRPr="004259D0">
        <w:rPr>
          <w:rFonts w:ascii="Calibri" w:hAnsi="Calibri"/>
          <w:lang w:val="hr-HR"/>
        </w:rPr>
        <w:t xml:space="preserve">su </w:t>
      </w:r>
      <w:r w:rsidRPr="004259D0">
        <w:rPr>
          <w:rFonts w:ascii="Calibri" w:hAnsi="Calibri"/>
          <w:lang w:val="hr-HR"/>
        </w:rPr>
        <w:t xml:space="preserve">posljedica razborite fiskalne politike i nastavka pozitivnih fiskalnih kretanja, odnosno ostvarenog viška proračuna opće države </w:t>
      </w:r>
      <w:r w:rsidR="00034C16" w:rsidRPr="004259D0">
        <w:rPr>
          <w:rFonts w:ascii="Calibri" w:hAnsi="Calibri"/>
          <w:lang w:val="hr-HR"/>
        </w:rPr>
        <w:t xml:space="preserve">u iznosu </w:t>
      </w:r>
      <w:r w:rsidRPr="004259D0">
        <w:rPr>
          <w:rFonts w:ascii="Calibri" w:hAnsi="Calibri"/>
          <w:lang w:val="hr-HR"/>
        </w:rPr>
        <w:t xml:space="preserve">od </w:t>
      </w:r>
      <w:r w:rsidR="00AB3DEB" w:rsidRPr="004259D0">
        <w:rPr>
          <w:rFonts w:ascii="Calibri" w:hAnsi="Calibri"/>
          <w:lang w:val="hr-HR"/>
        </w:rPr>
        <w:t>758</w:t>
      </w:r>
      <w:r w:rsidR="00034C16" w:rsidRPr="004259D0">
        <w:rPr>
          <w:rFonts w:ascii="Calibri" w:hAnsi="Calibri"/>
          <w:lang w:val="hr-HR"/>
        </w:rPr>
        <w:t xml:space="preserve"> milijuna</w:t>
      </w:r>
      <w:r w:rsidRPr="004259D0">
        <w:rPr>
          <w:rFonts w:ascii="Calibri" w:hAnsi="Calibri"/>
          <w:lang w:val="hr-HR"/>
        </w:rPr>
        <w:t xml:space="preserve"> kuna ili 0,2% BDP-a. Pored toga, u okruženju visoke razine likvidnosti i niskih kamatnih stopa poboljšani su i uvjeti zaduživanja na domaćem i međunarodnom financijskom tržištu, što je utjecalo na daljnje smanjenje rashoda za kamate i ostvarivanje primarnog fiskalnog viška od 2,5% BDP-a. Pozitivan doprinos smanjenju udjela duga u BDP-u u 2018. godini došao je i od </w:t>
      </w:r>
      <w:r w:rsidRPr="004259D0">
        <w:rPr>
          <w:lang w:val="hr-HR"/>
        </w:rPr>
        <w:t xml:space="preserve">blage aprecijacije kune u odnosu na euro (za 1,3% na godišnjoj razini). </w:t>
      </w:r>
      <w:r w:rsidR="0067690F" w:rsidRPr="0067690F">
        <w:rPr>
          <w:lang w:val="hr-HR"/>
        </w:rPr>
        <w:t>Domaća komponenta javnog duga povećana je za 4,3% u odnosu na 2017. godinu i iznosi 180,3 milijarde kuna, čineći udio od 63,3% u ukupnom javnom dugu, dok inozemna komponenta bilježi smanjenje od 6,3% i iznosi 104,4 milijarde kuna, odnosno 36,7% ukupnog javnog duga.</w:t>
      </w:r>
      <w:r w:rsidR="003F0E99" w:rsidRPr="004259D0">
        <w:rPr>
          <w:lang w:val="hr-HR"/>
        </w:rPr>
        <w:t xml:space="preserve"> Važno je napomenuti kako je, po pravilima </w:t>
      </w:r>
      <w:r w:rsidR="00D06808" w:rsidRPr="004259D0">
        <w:rPr>
          <w:lang w:val="hr-HR"/>
        </w:rPr>
        <w:t xml:space="preserve">metodologije </w:t>
      </w:r>
      <w:r w:rsidR="003F0E99" w:rsidRPr="004259D0">
        <w:rPr>
          <w:lang w:val="hr-HR"/>
        </w:rPr>
        <w:t xml:space="preserve">ESA 2010, cjelokupan jamčeni dug Uljanik grupe </w:t>
      </w:r>
      <w:r w:rsidR="00F55ED5" w:rsidRPr="004259D0">
        <w:rPr>
          <w:lang w:val="hr-HR"/>
        </w:rPr>
        <w:t xml:space="preserve">od </w:t>
      </w:r>
      <w:r w:rsidR="003F0E99" w:rsidRPr="004259D0">
        <w:rPr>
          <w:lang w:val="hr-HR"/>
        </w:rPr>
        <w:t xml:space="preserve">4,4 milijarde kuna reklasificiran u javni dug u 2018. godini. Uz to, </w:t>
      </w:r>
      <w:r w:rsidRPr="004259D0">
        <w:rPr>
          <w:lang w:val="hr-HR"/>
        </w:rPr>
        <w:t xml:space="preserve">povijesna serija kretanja javnog duga revidirana </w:t>
      </w:r>
      <w:r w:rsidR="003F0E99" w:rsidRPr="004259D0">
        <w:rPr>
          <w:lang w:val="hr-HR"/>
        </w:rPr>
        <w:t xml:space="preserve">je </w:t>
      </w:r>
      <w:r w:rsidRPr="004259D0">
        <w:rPr>
          <w:lang w:val="hr-HR"/>
        </w:rPr>
        <w:t xml:space="preserve">uslijed daljnjeg usklađivanja sektorizacije institucionalnih jedinica s </w:t>
      </w:r>
      <w:r w:rsidR="007325BF" w:rsidRPr="004259D0">
        <w:rPr>
          <w:lang w:val="hr-HR"/>
        </w:rPr>
        <w:t xml:space="preserve">metodologijom </w:t>
      </w:r>
      <w:r w:rsidRPr="004259D0">
        <w:rPr>
          <w:lang w:val="hr-HR"/>
        </w:rPr>
        <w:t>ESA 2010 te je revizijom u obuhvat opće države uključen velik broj novih jedinica s utjecajem na povećanje razine javnog duga od gotovo 1 milijarde kuna. Pritom se najveći dio uključenih jedinica odnosi na turističke zajednice i razvojne agencije, dok Lučka uprava Zadar s dugom od 797,8 milijuna kuna najviše pridonosi ovom povećanju.</w:t>
      </w:r>
    </w:p>
    <w:p w14:paraId="5BA582E2" w14:textId="57B8246D" w:rsidR="00B97FBE" w:rsidRPr="004259D0" w:rsidRDefault="00B97FBE" w:rsidP="00B97FBE">
      <w:pPr>
        <w:spacing w:after="240"/>
        <w:jc w:val="both"/>
        <w:rPr>
          <w:lang w:val="hr-HR"/>
        </w:rPr>
      </w:pPr>
      <w:r w:rsidRPr="004259D0">
        <w:rPr>
          <w:lang w:val="hr-HR"/>
        </w:rPr>
        <w:t>Promatrano prema razinama državne vlasti, glavnina javnog duga odnosi se na sektor središnje dr</w:t>
      </w:r>
      <w:r w:rsidR="00F632C1" w:rsidRPr="004259D0">
        <w:rPr>
          <w:lang w:val="hr-HR"/>
        </w:rPr>
        <w:t>žave u iznosu od 27</w:t>
      </w:r>
      <w:r w:rsidR="00F55ED5" w:rsidRPr="004259D0">
        <w:rPr>
          <w:lang w:val="hr-HR"/>
        </w:rPr>
        <w:t>9</w:t>
      </w:r>
      <w:r w:rsidR="00F632C1" w:rsidRPr="004259D0">
        <w:rPr>
          <w:lang w:val="hr-HR"/>
        </w:rPr>
        <w:t>,</w:t>
      </w:r>
      <w:r w:rsidR="00F55ED5" w:rsidRPr="004259D0">
        <w:rPr>
          <w:lang w:val="hr-HR"/>
        </w:rPr>
        <w:t>3</w:t>
      </w:r>
      <w:r w:rsidR="00F632C1" w:rsidRPr="004259D0">
        <w:rPr>
          <w:lang w:val="hr-HR"/>
        </w:rPr>
        <w:t xml:space="preserve"> milijarde</w:t>
      </w:r>
      <w:r w:rsidRPr="004259D0">
        <w:rPr>
          <w:lang w:val="hr-HR"/>
        </w:rPr>
        <w:t xml:space="preserve"> kuna, dok se ostatak duga od 5</w:t>
      </w:r>
      <w:r w:rsidR="00F55ED5" w:rsidRPr="004259D0">
        <w:rPr>
          <w:lang w:val="hr-HR"/>
        </w:rPr>
        <w:t>,4</w:t>
      </w:r>
      <w:r w:rsidRPr="004259D0">
        <w:rPr>
          <w:lang w:val="hr-HR"/>
        </w:rPr>
        <w:t xml:space="preserve"> milijard</w:t>
      </w:r>
      <w:r w:rsidR="00F55ED5" w:rsidRPr="004259D0">
        <w:rPr>
          <w:lang w:val="hr-HR"/>
        </w:rPr>
        <w:t>e</w:t>
      </w:r>
      <w:r w:rsidRPr="004259D0">
        <w:rPr>
          <w:lang w:val="hr-HR"/>
        </w:rPr>
        <w:t xml:space="preserve"> kuna odnosi na sektor lokalne države, a 1,1 milijun kuna na dug fondova socijalne sigurnosti.</w:t>
      </w:r>
    </w:p>
    <w:p w14:paraId="779B01AC" w14:textId="0876B0A2" w:rsidR="00B97FBE" w:rsidRPr="004259D0" w:rsidRDefault="0067690F" w:rsidP="00B97FBE">
      <w:pPr>
        <w:spacing w:before="240" w:after="240"/>
        <w:jc w:val="both"/>
        <w:rPr>
          <w:rFonts w:ascii="Calibri" w:hAnsi="Calibri"/>
          <w:lang w:val="hr-HR"/>
        </w:rPr>
      </w:pPr>
      <w:r w:rsidRPr="0067690F">
        <w:rPr>
          <w:rFonts w:ascii="Calibri" w:hAnsi="Calibri"/>
          <w:lang w:val="hr-HR"/>
        </w:rPr>
        <w:t>Gledajući prema instrumentima zaduživanja, najveći dio javnog duga nastao je zaduživanjem putem dugoročnih vrijednosnih papira, odnosno obveznica (64,6%), a zatim zaduživanjem putem kredita (31,2%) te kratkoročnih vrijednosnih papira (4,2%).</w:t>
      </w:r>
    </w:p>
    <w:p w14:paraId="109C2111" w14:textId="77777777" w:rsidR="00B97FBE" w:rsidRPr="004259D0" w:rsidRDefault="00B97FBE" w:rsidP="00B97FBE">
      <w:pPr>
        <w:spacing w:after="240"/>
        <w:jc w:val="both"/>
        <w:rPr>
          <w:rFonts w:ascii="Calibri" w:hAnsi="Calibri"/>
          <w:lang w:val="hr-HR"/>
        </w:rPr>
      </w:pPr>
      <w:r w:rsidRPr="004259D0">
        <w:rPr>
          <w:rFonts w:ascii="Calibri" w:hAnsi="Calibri"/>
          <w:lang w:val="hr-HR"/>
        </w:rPr>
        <w:t xml:space="preserve">Valutna struktura javnog duga pokazuje kako je značajan dio duga denominiran u stranoj valuti pri čemu se na dug denominiran u eurima odnosi 71,2%, na dug denominiran u kunama 25%, a na dug denominiran u dolarima 3,7% ukupnog duga. Neznatan dio duga (0,03%) denominiran je u švicarskim francima. Udio duga koji je denominiran u eurima u 2018. se smanjio za 1,6 postotnih bodova u odnosu na 2017. godinu kao rezultat orijentacije na zaduživanje na domaćem tržištu. </w:t>
      </w:r>
    </w:p>
    <w:p w14:paraId="50AD4D23" w14:textId="77777777" w:rsidR="00B97FBE" w:rsidRPr="004259D0" w:rsidRDefault="00B97FBE" w:rsidP="00B97FBE">
      <w:pPr>
        <w:spacing w:after="240"/>
        <w:jc w:val="both"/>
        <w:rPr>
          <w:rFonts w:ascii="Calibri" w:hAnsi="Calibri"/>
          <w:lang w:val="hr-HR"/>
        </w:rPr>
      </w:pPr>
      <w:r w:rsidRPr="004259D0">
        <w:rPr>
          <w:rFonts w:ascii="Calibri" w:hAnsi="Calibri"/>
          <w:lang w:val="hr-HR"/>
        </w:rPr>
        <w:t>Struktura javnog duga po ročnosti pokazuje da je na kraju 2018. godine udio javnog duga s rokom dospijeća do 1 godine u ukupnom dugu iznosio 4,6%. Udio javnog duga s rokom dospijeća od 1 do 5 godina bio je 8,5%, dok je udio duga s rokom dospijeća od 5 do 10 godina iznosio 37,6%. Na dug s rokom dospijeća iznad 10 godina odnosi se 49,2% ukupnog javnog duga.</w:t>
      </w:r>
    </w:p>
    <w:p w14:paraId="375470E4" w14:textId="5BBC76F0" w:rsidR="00FF7990" w:rsidRPr="004259D0" w:rsidRDefault="00FF7990" w:rsidP="002C418A">
      <w:pPr>
        <w:spacing w:after="0"/>
        <w:jc w:val="both"/>
        <w:rPr>
          <w:i/>
          <w:lang w:val="hr-HR"/>
        </w:rPr>
      </w:pPr>
      <w:bookmarkStart w:id="31" w:name="_Toc6418645"/>
      <w:r w:rsidRPr="004259D0">
        <w:rPr>
          <w:i/>
          <w:lang w:val="hr-HR"/>
        </w:rPr>
        <w:t xml:space="preserve">Grafikon </w:t>
      </w:r>
      <w:r w:rsidR="004D031B" w:rsidRPr="004259D0">
        <w:rPr>
          <w:i/>
          <w:lang w:val="hr-HR"/>
        </w:rPr>
        <w:fldChar w:fldCharType="begin"/>
      </w:r>
      <w:r w:rsidR="004D031B" w:rsidRPr="004259D0">
        <w:rPr>
          <w:i/>
          <w:lang w:val="hr-HR"/>
        </w:rPr>
        <w:instrText xml:space="preserve"> STYLEREF 1 \s </w:instrText>
      </w:r>
      <w:r w:rsidR="004D031B" w:rsidRPr="004259D0">
        <w:rPr>
          <w:i/>
          <w:lang w:val="hr-HR"/>
        </w:rPr>
        <w:fldChar w:fldCharType="separate"/>
      </w:r>
      <w:r w:rsidR="00572AFD">
        <w:rPr>
          <w:i/>
          <w:noProof/>
          <w:lang w:val="hr-HR"/>
        </w:rPr>
        <w:t>3</w:t>
      </w:r>
      <w:r w:rsidR="004D031B" w:rsidRPr="004259D0">
        <w:rPr>
          <w:i/>
          <w:lang w:val="hr-HR"/>
        </w:rPr>
        <w:fldChar w:fldCharType="end"/>
      </w:r>
      <w:r w:rsidR="004D031B" w:rsidRPr="004259D0">
        <w:rPr>
          <w:i/>
          <w:lang w:val="hr-HR"/>
        </w:rPr>
        <w:t>.</w:t>
      </w:r>
      <w:r w:rsidR="004D031B" w:rsidRPr="004259D0">
        <w:rPr>
          <w:i/>
          <w:lang w:val="hr-HR"/>
        </w:rPr>
        <w:fldChar w:fldCharType="begin"/>
      </w:r>
      <w:r w:rsidR="004D031B" w:rsidRPr="004259D0">
        <w:rPr>
          <w:i/>
          <w:lang w:val="hr-HR"/>
        </w:rPr>
        <w:instrText xml:space="preserve"> SEQ Grafikon \* ARABIC \s 1 </w:instrText>
      </w:r>
      <w:r w:rsidR="004D031B" w:rsidRPr="004259D0">
        <w:rPr>
          <w:i/>
          <w:lang w:val="hr-HR"/>
        </w:rPr>
        <w:fldChar w:fldCharType="separate"/>
      </w:r>
      <w:r w:rsidR="00572AFD">
        <w:rPr>
          <w:i/>
          <w:noProof/>
          <w:lang w:val="hr-HR"/>
        </w:rPr>
        <w:t>1</w:t>
      </w:r>
      <w:r w:rsidR="004D031B" w:rsidRPr="004259D0">
        <w:rPr>
          <w:i/>
          <w:lang w:val="hr-HR"/>
        </w:rPr>
        <w:fldChar w:fldCharType="end"/>
      </w:r>
      <w:r w:rsidR="003067E5" w:rsidRPr="004259D0">
        <w:rPr>
          <w:i/>
          <w:lang w:val="hr-HR"/>
        </w:rPr>
        <w:t>.</w:t>
      </w:r>
      <w:r w:rsidRPr="004259D0">
        <w:rPr>
          <w:i/>
          <w:lang w:val="hr-HR"/>
        </w:rPr>
        <w:t xml:space="preserve"> </w:t>
      </w:r>
      <w:bookmarkEnd w:id="30"/>
      <w:r w:rsidR="00A328D9" w:rsidRPr="004259D0">
        <w:rPr>
          <w:i/>
          <w:lang w:val="hr-HR"/>
        </w:rPr>
        <w:t>Kreta</w:t>
      </w:r>
      <w:r w:rsidR="005842FA" w:rsidRPr="004259D0">
        <w:rPr>
          <w:i/>
          <w:lang w:val="hr-HR"/>
        </w:rPr>
        <w:t>nje javnog duga u razdoblju 20</w:t>
      </w:r>
      <w:r w:rsidR="007368F0" w:rsidRPr="004259D0">
        <w:rPr>
          <w:i/>
          <w:lang w:val="hr-HR"/>
        </w:rPr>
        <w:t>1</w:t>
      </w:r>
      <w:r w:rsidR="00B97FBE" w:rsidRPr="004259D0">
        <w:rPr>
          <w:i/>
          <w:lang w:val="hr-HR"/>
        </w:rPr>
        <w:t>1</w:t>
      </w:r>
      <w:r w:rsidR="00A328D9" w:rsidRPr="004259D0">
        <w:rPr>
          <w:i/>
          <w:lang w:val="hr-HR"/>
        </w:rPr>
        <w:t>. - 201</w:t>
      </w:r>
      <w:r w:rsidR="00D12C95" w:rsidRPr="004259D0">
        <w:rPr>
          <w:i/>
          <w:lang w:val="hr-HR"/>
        </w:rPr>
        <w:t>8</w:t>
      </w:r>
      <w:r w:rsidR="00A328D9" w:rsidRPr="004259D0">
        <w:rPr>
          <w:i/>
          <w:lang w:val="hr-HR"/>
        </w:rPr>
        <w:t>.</w:t>
      </w:r>
      <w:bookmarkEnd w:id="31"/>
    </w:p>
    <w:p w14:paraId="3D7BA53B" w14:textId="07E5BBF8" w:rsidR="007368F0" w:rsidRPr="004259D0" w:rsidRDefault="00F55ED5" w:rsidP="002C418A">
      <w:pPr>
        <w:spacing w:after="0"/>
        <w:jc w:val="both"/>
        <w:rPr>
          <w:i/>
          <w:lang w:val="hr-HR"/>
        </w:rPr>
      </w:pPr>
      <w:r w:rsidRPr="004259D0">
        <w:rPr>
          <w:noProof/>
          <w:lang w:val="hr-HR" w:eastAsia="hr-HR"/>
        </w:rPr>
        <w:drawing>
          <wp:inline distT="0" distB="0" distL="0" distR="0" wp14:anchorId="0FAF3262" wp14:editId="45F37D88">
            <wp:extent cx="5760720" cy="2842454"/>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2842454"/>
                    </a:xfrm>
                    <a:prstGeom prst="rect">
                      <a:avLst/>
                    </a:prstGeom>
                    <a:noFill/>
                    <a:ln>
                      <a:noFill/>
                    </a:ln>
                  </pic:spPr>
                </pic:pic>
              </a:graphicData>
            </a:graphic>
          </wp:inline>
        </w:drawing>
      </w:r>
    </w:p>
    <w:p w14:paraId="4B7EB06F" w14:textId="77777777" w:rsidR="007E5367" w:rsidRPr="004259D0" w:rsidRDefault="007E5367" w:rsidP="00BC5716">
      <w:pPr>
        <w:jc w:val="both"/>
        <w:rPr>
          <w:i/>
          <w:sz w:val="20"/>
          <w:lang w:val="hr-HR"/>
        </w:rPr>
      </w:pPr>
      <w:r w:rsidRPr="004259D0">
        <w:rPr>
          <w:i/>
          <w:sz w:val="20"/>
          <w:lang w:val="hr-HR"/>
        </w:rPr>
        <w:t>Izvor: HNB, DZS</w:t>
      </w:r>
    </w:p>
    <w:p w14:paraId="0081362E" w14:textId="3635256E" w:rsidR="00B97FBE" w:rsidRPr="004259D0" w:rsidRDefault="00B97FBE" w:rsidP="00B97FBE">
      <w:pPr>
        <w:jc w:val="both"/>
        <w:rPr>
          <w:lang w:val="hr-HR"/>
        </w:rPr>
      </w:pPr>
      <w:r w:rsidRPr="004259D0">
        <w:rPr>
          <w:lang w:val="hr-HR"/>
        </w:rPr>
        <w:t xml:space="preserve">Ukupna izdana jamstva RH krajem 2018. iznosila su </w:t>
      </w:r>
      <w:r w:rsidR="00F55ED5" w:rsidRPr="004259D0">
        <w:rPr>
          <w:lang w:val="hr-HR"/>
        </w:rPr>
        <w:t>6,3</w:t>
      </w:r>
      <w:r w:rsidRPr="004259D0">
        <w:rPr>
          <w:lang w:val="hr-HR"/>
        </w:rPr>
        <w:t xml:space="preserve"> milijard</w:t>
      </w:r>
      <w:r w:rsidR="00F55ED5" w:rsidRPr="004259D0">
        <w:rPr>
          <w:lang w:val="hr-HR"/>
        </w:rPr>
        <w:t>e</w:t>
      </w:r>
      <w:r w:rsidRPr="004259D0">
        <w:rPr>
          <w:lang w:val="hr-HR"/>
        </w:rPr>
        <w:t xml:space="preserve"> kuna, odnosno </w:t>
      </w:r>
      <w:r w:rsidR="00F55ED5" w:rsidRPr="004259D0">
        <w:rPr>
          <w:lang w:val="hr-HR"/>
        </w:rPr>
        <w:t>1</w:t>
      </w:r>
      <w:r w:rsidRPr="004259D0">
        <w:rPr>
          <w:lang w:val="hr-HR"/>
        </w:rPr>
        <w:t>,</w:t>
      </w:r>
      <w:r w:rsidR="00F55ED5" w:rsidRPr="004259D0">
        <w:rPr>
          <w:lang w:val="hr-HR"/>
        </w:rPr>
        <w:t>7</w:t>
      </w:r>
      <w:r w:rsidRPr="004259D0">
        <w:rPr>
          <w:lang w:val="hr-HR"/>
        </w:rPr>
        <w:t xml:space="preserve">% BDP-a te su u odnosu na kraj 2017. godine smanjena za </w:t>
      </w:r>
      <w:r w:rsidR="00F55ED5" w:rsidRPr="004259D0">
        <w:rPr>
          <w:lang w:val="hr-HR"/>
        </w:rPr>
        <w:t>4</w:t>
      </w:r>
      <w:r w:rsidRPr="004259D0">
        <w:rPr>
          <w:lang w:val="hr-HR"/>
        </w:rPr>
        <w:t>,</w:t>
      </w:r>
      <w:r w:rsidR="00F55ED5" w:rsidRPr="004259D0">
        <w:rPr>
          <w:lang w:val="hr-HR"/>
        </w:rPr>
        <w:t>9</w:t>
      </w:r>
      <w:r w:rsidRPr="004259D0">
        <w:rPr>
          <w:lang w:val="hr-HR"/>
        </w:rPr>
        <w:t xml:space="preserve"> milijardi kuna, prvenstveno kao posljedica </w:t>
      </w:r>
      <w:r w:rsidR="00F55ED5" w:rsidRPr="004259D0">
        <w:rPr>
          <w:lang w:val="hr-HR"/>
        </w:rPr>
        <w:t>reklasificiranja</w:t>
      </w:r>
      <w:r w:rsidRPr="004259D0">
        <w:rPr>
          <w:lang w:val="hr-HR"/>
        </w:rPr>
        <w:t xml:space="preserve"> jamstv</w:t>
      </w:r>
      <w:r w:rsidR="00F55ED5" w:rsidRPr="004259D0">
        <w:rPr>
          <w:lang w:val="hr-HR"/>
        </w:rPr>
        <w:t>a</w:t>
      </w:r>
      <w:r w:rsidRPr="004259D0">
        <w:rPr>
          <w:lang w:val="hr-HR"/>
        </w:rPr>
        <w:t xml:space="preserve"> Uljanik grup</w:t>
      </w:r>
      <w:r w:rsidR="00F55ED5" w:rsidRPr="004259D0">
        <w:rPr>
          <w:lang w:val="hr-HR"/>
        </w:rPr>
        <w:t>e u javni dug</w:t>
      </w:r>
      <w:r w:rsidRPr="004259D0">
        <w:rPr>
          <w:lang w:val="hr-HR"/>
        </w:rPr>
        <w:t xml:space="preserve">. </w:t>
      </w:r>
    </w:p>
    <w:p w14:paraId="78083FED" w14:textId="7BDCA714" w:rsidR="00B97FBE" w:rsidRPr="004259D0" w:rsidRDefault="00B97FBE" w:rsidP="00B97FBE">
      <w:pPr>
        <w:jc w:val="both"/>
        <w:rPr>
          <w:lang w:val="hr-HR"/>
        </w:rPr>
      </w:pPr>
      <w:r w:rsidRPr="004259D0">
        <w:rPr>
          <w:lang w:val="hr-HR"/>
        </w:rPr>
        <w:t xml:space="preserve">Prema posljednjim dostupnim podacima </w:t>
      </w:r>
      <w:r w:rsidR="00DD4CEF" w:rsidRPr="004259D0">
        <w:rPr>
          <w:lang w:val="hr-HR"/>
        </w:rPr>
        <w:t xml:space="preserve">Državnog zavoda za statistiku (u daljnjem tekstu: </w:t>
      </w:r>
      <w:r w:rsidRPr="004259D0">
        <w:rPr>
          <w:lang w:val="hr-HR"/>
        </w:rPr>
        <w:t>DZS</w:t>
      </w:r>
      <w:r w:rsidR="00DD4CEF" w:rsidRPr="004259D0">
        <w:rPr>
          <w:lang w:val="hr-HR"/>
        </w:rPr>
        <w:t>)</w:t>
      </w:r>
      <w:r w:rsidRPr="004259D0">
        <w:rPr>
          <w:lang w:val="hr-HR"/>
        </w:rPr>
        <w:t xml:space="preserve"> o potencijalnim obvezama sektora opće države u skladu s Direktivom Vijeća 2011/85/EU o zahtjevima za proračunske okvire država članica, krajem 2017. godine obveze javnih poduzeća koje su pod kontrolom države, no nisu u statističkom obuhvatu opće države, iznosile su svega 9,7% BDP-a, čime se RH nalazi pri dnu po visini ovih potencijalnih obveza u usporedbi s ostalim državama članicama EU. Ovako relativno niska razina potencijalnih obveza prvenstveno je rezultat ranijeg usklađivanja s metodologijom ESA 2010 i reklasifikacije velikog dijela poduzeća u državnom vlasništvu u sektor opće države odnosno u javni dug.</w:t>
      </w:r>
    </w:p>
    <w:p w14:paraId="6F89504C" w14:textId="77777777" w:rsidR="00B97FBE" w:rsidRPr="004259D0" w:rsidRDefault="00B97FBE" w:rsidP="00B97FBE">
      <w:pPr>
        <w:jc w:val="both"/>
        <w:rPr>
          <w:lang w:val="hr-HR"/>
        </w:rPr>
      </w:pPr>
      <w:r w:rsidRPr="004259D0">
        <w:rPr>
          <w:lang w:val="hr-HR"/>
        </w:rPr>
        <w:t>Zakonom o izvršavanju Državnog proračuna RH za 2019. godinu</w:t>
      </w:r>
      <w:r w:rsidRPr="004259D0">
        <w:rPr>
          <w:rStyle w:val="FootnoteReference"/>
          <w:lang w:val="hr-HR"/>
        </w:rPr>
        <w:footnoteReference w:id="41"/>
      </w:r>
      <w:r w:rsidRPr="004259D0">
        <w:rPr>
          <w:lang w:val="hr-HR"/>
        </w:rPr>
        <w:t xml:space="preserve"> utvrđeno je da godišnja vrijednost novih financijskih jamstava za 2019. godinu iznosi 3,9 milijardi kuna, od čega se iznos od 1,3 milijarde kuna odnosi na izvanproračunske korisnike državnog proračuna.</w:t>
      </w:r>
    </w:p>
    <w:p w14:paraId="564370A8" w14:textId="77777777" w:rsidR="0096473C" w:rsidRPr="004259D0" w:rsidRDefault="0096473C" w:rsidP="00A55E0A">
      <w:pPr>
        <w:jc w:val="both"/>
        <w:rPr>
          <w:lang w:val="hr-HR"/>
        </w:rPr>
      </w:pPr>
    </w:p>
    <w:p w14:paraId="7445D12B" w14:textId="77777777" w:rsidR="00CB2B37" w:rsidRPr="004259D0" w:rsidRDefault="00AE6FDC" w:rsidP="00CB2B37">
      <w:pPr>
        <w:pStyle w:val="Subtitle"/>
        <w:rPr>
          <w:lang w:val="hr-HR"/>
        </w:rPr>
      </w:pPr>
      <w:r w:rsidRPr="004259D0">
        <w:rPr>
          <w:lang w:val="hr-HR"/>
        </w:rPr>
        <w:t>Financiranje proračuna opće države i projekcija kretanja javnog duga</w:t>
      </w:r>
      <w:r w:rsidR="00A40638" w:rsidRPr="004259D0">
        <w:rPr>
          <w:lang w:val="hr-HR"/>
        </w:rPr>
        <w:t xml:space="preserve"> </w:t>
      </w:r>
    </w:p>
    <w:p w14:paraId="43E312DB" w14:textId="68AC8DE8" w:rsidR="00B97FBE" w:rsidRPr="004259D0" w:rsidRDefault="00B97FBE" w:rsidP="00B97FBE">
      <w:pPr>
        <w:jc w:val="both"/>
        <w:rPr>
          <w:lang w:val="hr-HR"/>
        </w:rPr>
      </w:pPr>
      <w:r w:rsidRPr="004259D0">
        <w:rPr>
          <w:lang w:val="hr-HR"/>
        </w:rPr>
        <w:t xml:space="preserve">Ukupna razina potrebnog financiranja bit će određena kretanjem fiskalnog salda, financijske imovine kao i obvezama proračuna opće države koje dospijevaju na naplatu u promatranom razdoblju. Potrebe za financiranjem ukupnog manjka proračuna te dospjelih obveza osigurat će se na domaćem i na inozemnom financijskom tržištu, dok će u pogledu instrumenata zaduživanja u promatranom razdoblju usmjerenost biti prema instrumentima s dužim rokom dospijeća i to prvenstveno prema obveznicama. Zaduživanje zajmovima bit će u prvom redu usmjereno na domaće financijsko tržište, dok se inozemno financiranje odnosi na projektne zajmove međunarodnih financijskih institucija. Na strani financijske imovine u razdoblju 2019. - 2022. očekuju se i primici od privatizacije u iznosu od prosječno 0,2% BDP-a godišnje. </w:t>
      </w:r>
    </w:p>
    <w:p w14:paraId="79573D69" w14:textId="77777777" w:rsidR="00B97FBE" w:rsidRPr="004259D0" w:rsidRDefault="00B97FBE" w:rsidP="00B97FBE">
      <w:pPr>
        <w:jc w:val="both"/>
        <w:rPr>
          <w:lang w:val="hr-HR"/>
        </w:rPr>
      </w:pPr>
      <w:r w:rsidRPr="004259D0">
        <w:rPr>
          <w:lang w:val="hr-HR"/>
        </w:rPr>
        <w:t>Glavnina dospijeća obveza državnog proračuna u razdoblju 2019. - 2022. odnosi se na jedanaest dospijeća obveznica, pri čemu je sedam domaćih, a četiri inozemna. Od domaćih obveznica četiri su denominirane u eurima, u iznosu od 3,5 milijardi eura, dok su tri obveznice denominirane u kunama u ukupnom iznosu od 14 milijardi kuna. Inozemna dospijeća odnose se na četiri euroobveznice. Prva euroobveznica u iznosu od 1,5 milijardi dolara ima dospijeće u 2019., druga euroobveznica u iznosu od 1,3 milijarde dolara dospijeva u 2020., treća u iznosu od 1,5 milijardi dolara ima dospijeće u 2021., dok četvrta u iznosu od 1,3 milijarde eura dospijeva u 2022. godini. Na strani zajmova, većina dospijeća u promatranom razdoblju odnose se na kredite izdane na domaćem financijskom tržištu te na zajmove međunarodnih financijskih institucija. Tako se ukupna dospijeća zajmova državnog proračuna kreću u iznosu od 4,6 milijardi kuna u 2019., 4,4 milijarde kuna u 2020., 6,7 milijardi kuna u 2021. te 2,8 milijardi kuna u 2022. godini.</w:t>
      </w:r>
    </w:p>
    <w:p w14:paraId="22DBEDE4" w14:textId="77777777" w:rsidR="00B97FBE" w:rsidRPr="004259D0" w:rsidRDefault="00B97FBE" w:rsidP="00B97FBE">
      <w:pPr>
        <w:jc w:val="both"/>
        <w:rPr>
          <w:lang w:val="hr-HR"/>
        </w:rPr>
      </w:pPr>
      <w:r w:rsidRPr="004259D0">
        <w:rPr>
          <w:lang w:val="hr-HR"/>
        </w:rPr>
        <w:t>Strategija upravljanja javnim dugom za trogodišnje razdoblje, koja će se donijeti u svibnju ove godine, sadržavat će detaljan plan zaduživanja i otplata koji će biti usklađen s fiskalnim projekcijama iz ovog dokumenta.</w:t>
      </w:r>
    </w:p>
    <w:p w14:paraId="167FF4AA" w14:textId="77777777" w:rsidR="005061A1" w:rsidRPr="005E28F6" w:rsidRDefault="005061A1" w:rsidP="002C418A">
      <w:pPr>
        <w:spacing w:after="0" w:line="240" w:lineRule="auto"/>
        <w:jc w:val="both"/>
        <w:rPr>
          <w:i/>
          <w:lang w:val="hr-HR"/>
        </w:rPr>
      </w:pPr>
      <w:bookmarkStart w:id="32" w:name="_Toc6418639"/>
      <w:r w:rsidRPr="005E28F6">
        <w:rPr>
          <w:i/>
          <w:lang w:val="hr-HR"/>
        </w:rPr>
        <w:t xml:space="preserve">Tablica </w:t>
      </w:r>
      <w:r w:rsidR="00821428" w:rsidRPr="005E28F6">
        <w:rPr>
          <w:i/>
          <w:lang w:val="hr-HR"/>
        </w:rPr>
        <w:fldChar w:fldCharType="begin"/>
      </w:r>
      <w:r w:rsidR="00821428" w:rsidRPr="005E28F6">
        <w:rPr>
          <w:i/>
          <w:lang w:val="hr-HR"/>
        </w:rPr>
        <w:instrText xml:space="preserve"> STYLEREF 1 \s </w:instrText>
      </w:r>
      <w:r w:rsidR="00821428" w:rsidRPr="005E28F6">
        <w:rPr>
          <w:i/>
          <w:lang w:val="hr-HR"/>
        </w:rPr>
        <w:fldChar w:fldCharType="separate"/>
      </w:r>
      <w:r w:rsidR="00572AFD">
        <w:rPr>
          <w:i/>
          <w:noProof/>
          <w:lang w:val="hr-HR"/>
        </w:rPr>
        <w:t>3</w:t>
      </w:r>
      <w:r w:rsidR="00821428" w:rsidRPr="005E28F6">
        <w:rPr>
          <w:i/>
          <w:lang w:val="hr-HR"/>
        </w:rPr>
        <w:fldChar w:fldCharType="end"/>
      </w:r>
      <w:r w:rsidR="00821428" w:rsidRPr="005E28F6">
        <w:rPr>
          <w:i/>
          <w:lang w:val="hr-HR"/>
        </w:rPr>
        <w:t>.</w:t>
      </w:r>
      <w:r w:rsidR="00821428" w:rsidRPr="005E28F6">
        <w:rPr>
          <w:i/>
          <w:lang w:val="hr-HR"/>
        </w:rPr>
        <w:fldChar w:fldCharType="begin"/>
      </w:r>
      <w:r w:rsidR="00821428" w:rsidRPr="005E28F6">
        <w:rPr>
          <w:i/>
          <w:lang w:val="hr-HR"/>
        </w:rPr>
        <w:instrText xml:space="preserve"> SEQ Tablica \* ARABIC \s 1 </w:instrText>
      </w:r>
      <w:r w:rsidR="00821428" w:rsidRPr="005E28F6">
        <w:rPr>
          <w:i/>
          <w:lang w:val="hr-HR"/>
        </w:rPr>
        <w:fldChar w:fldCharType="separate"/>
      </w:r>
      <w:r w:rsidR="00572AFD">
        <w:rPr>
          <w:i/>
          <w:noProof/>
          <w:lang w:val="hr-HR"/>
        </w:rPr>
        <w:t>3</w:t>
      </w:r>
      <w:r w:rsidR="00821428" w:rsidRPr="005E28F6">
        <w:rPr>
          <w:i/>
          <w:lang w:val="hr-HR"/>
        </w:rPr>
        <w:fldChar w:fldCharType="end"/>
      </w:r>
      <w:r w:rsidR="003067E5" w:rsidRPr="005E28F6">
        <w:rPr>
          <w:i/>
          <w:lang w:val="hr-HR"/>
        </w:rPr>
        <w:t>.</w:t>
      </w:r>
      <w:r w:rsidRPr="005E28F6">
        <w:rPr>
          <w:i/>
          <w:lang w:val="hr-HR"/>
        </w:rPr>
        <w:t xml:space="preserve"> Pregled dospije</w:t>
      </w:r>
      <w:r w:rsidR="006B4E88" w:rsidRPr="005E28F6">
        <w:rPr>
          <w:i/>
          <w:lang w:val="hr-HR"/>
        </w:rPr>
        <w:t>ća obveznica RH u razdoblju 201</w:t>
      </w:r>
      <w:r w:rsidR="00D12C95" w:rsidRPr="005E28F6">
        <w:rPr>
          <w:i/>
          <w:lang w:val="hr-HR"/>
        </w:rPr>
        <w:t>9</w:t>
      </w:r>
      <w:r w:rsidRPr="005E28F6">
        <w:rPr>
          <w:i/>
          <w:lang w:val="hr-HR"/>
        </w:rPr>
        <w:t>. – 20</w:t>
      </w:r>
      <w:r w:rsidR="00281A05" w:rsidRPr="005E28F6">
        <w:rPr>
          <w:i/>
          <w:lang w:val="hr-HR"/>
        </w:rPr>
        <w:t>2</w:t>
      </w:r>
      <w:r w:rsidR="00D12C95" w:rsidRPr="005E28F6">
        <w:rPr>
          <w:i/>
          <w:lang w:val="hr-HR"/>
        </w:rPr>
        <w:t>2</w:t>
      </w:r>
      <w:r w:rsidRPr="005E28F6">
        <w:rPr>
          <w:i/>
          <w:lang w:val="hr-HR"/>
        </w:rPr>
        <w:t>.</w:t>
      </w:r>
      <w:bookmarkEnd w:id="32"/>
    </w:p>
    <w:p w14:paraId="35AD93A1" w14:textId="77777777" w:rsidR="00B97FBE" w:rsidRPr="005E28F6" w:rsidRDefault="00B97FBE" w:rsidP="00B97FBE">
      <w:pPr>
        <w:spacing w:after="0" w:line="240" w:lineRule="auto"/>
        <w:jc w:val="both"/>
        <w:rPr>
          <w:i/>
          <w:lang w:val="hr-HR"/>
        </w:rPr>
      </w:pPr>
      <w:r w:rsidRPr="005E28F6">
        <w:rPr>
          <w:noProof/>
          <w:lang w:val="hr-HR" w:eastAsia="hr-HR"/>
        </w:rPr>
        <w:drawing>
          <wp:inline distT="0" distB="0" distL="0" distR="0" wp14:anchorId="5F055E1B" wp14:editId="6BF80ABF">
            <wp:extent cx="5760720" cy="2346080"/>
            <wp:effectExtent l="0" t="0" r="0" b="0"/>
            <wp:docPr id="1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346080"/>
                    </a:xfrm>
                    <a:prstGeom prst="rect">
                      <a:avLst/>
                    </a:prstGeom>
                    <a:noFill/>
                    <a:ln>
                      <a:noFill/>
                    </a:ln>
                  </pic:spPr>
                </pic:pic>
              </a:graphicData>
            </a:graphic>
          </wp:inline>
        </w:drawing>
      </w:r>
    </w:p>
    <w:p w14:paraId="45D9DCFF" w14:textId="77777777" w:rsidR="005061A1" w:rsidRPr="004259D0" w:rsidRDefault="005061A1" w:rsidP="00270563">
      <w:pPr>
        <w:jc w:val="both"/>
        <w:rPr>
          <w:i/>
          <w:sz w:val="20"/>
          <w:lang w:val="hr-HR"/>
        </w:rPr>
      </w:pPr>
      <w:r w:rsidRPr="005E28F6">
        <w:rPr>
          <w:i/>
          <w:sz w:val="20"/>
          <w:lang w:val="hr-HR"/>
        </w:rPr>
        <w:t>Izvor:</w:t>
      </w:r>
      <w:r w:rsidR="00D56AF0" w:rsidRPr="005E28F6">
        <w:rPr>
          <w:i/>
          <w:sz w:val="20"/>
          <w:lang w:val="hr-HR"/>
        </w:rPr>
        <w:t xml:space="preserve"> </w:t>
      </w:r>
      <w:r w:rsidR="00D02375" w:rsidRPr="005E28F6">
        <w:rPr>
          <w:i/>
          <w:sz w:val="20"/>
          <w:lang w:val="hr-HR"/>
        </w:rPr>
        <w:t>Ministarstvo financija</w:t>
      </w:r>
    </w:p>
    <w:p w14:paraId="7FBC49AB" w14:textId="50853D90" w:rsidR="00B97FBE" w:rsidRPr="004259D0" w:rsidRDefault="00B97FBE" w:rsidP="00B97FBE">
      <w:pPr>
        <w:jc w:val="both"/>
        <w:rPr>
          <w:lang w:val="hr-HR"/>
        </w:rPr>
      </w:pPr>
      <w:r w:rsidRPr="004259D0">
        <w:rPr>
          <w:lang w:val="hr-HR"/>
        </w:rPr>
        <w:t xml:space="preserve">Temeljem kretanja fiskalnog salda proračuna opće države očekuje se da će udio javnog duga u BDP-u u 2019. godini zabilježiti daljnje smanjenje za </w:t>
      </w:r>
      <w:r w:rsidR="00F55ED5" w:rsidRPr="004259D0">
        <w:rPr>
          <w:lang w:val="hr-HR"/>
        </w:rPr>
        <w:t>3</w:t>
      </w:r>
      <w:r w:rsidRPr="004259D0">
        <w:rPr>
          <w:lang w:val="hr-HR"/>
        </w:rPr>
        <w:t xml:space="preserve"> postotn</w:t>
      </w:r>
      <w:r w:rsidR="00F55ED5" w:rsidRPr="004259D0">
        <w:rPr>
          <w:lang w:val="hr-HR"/>
        </w:rPr>
        <w:t>a</w:t>
      </w:r>
      <w:r w:rsidRPr="004259D0">
        <w:rPr>
          <w:lang w:val="hr-HR"/>
        </w:rPr>
        <w:t xml:space="preserve"> bod</w:t>
      </w:r>
      <w:r w:rsidR="00F55ED5" w:rsidRPr="004259D0">
        <w:rPr>
          <w:lang w:val="hr-HR"/>
        </w:rPr>
        <w:t>a</w:t>
      </w:r>
      <w:r w:rsidRPr="004259D0">
        <w:rPr>
          <w:lang w:val="hr-HR"/>
        </w:rPr>
        <w:t xml:space="preserve"> te će iznositi 71,6% BDP-a. Nadalje, u nastavku srednjoročnog razdoblja udio javnog duga u BDP-u nastavit će se smanjivati za prosječno 3,2 postotna boda godišnje, odnosno na razinu od 68,5% BDP-a u 2020., 65,4% BDP-a u 2021., dok će u 2022. godini iznositi 62% BDP-a. </w:t>
      </w:r>
    </w:p>
    <w:p w14:paraId="664611D1" w14:textId="77777777" w:rsidR="00A328D9" w:rsidRPr="004259D0" w:rsidRDefault="00A328D9" w:rsidP="00C3526B">
      <w:pPr>
        <w:spacing w:after="0"/>
        <w:jc w:val="both"/>
        <w:rPr>
          <w:i/>
          <w:lang w:val="hr-HR"/>
        </w:rPr>
      </w:pPr>
      <w:bookmarkStart w:id="33" w:name="_Toc6418646"/>
      <w:r w:rsidRPr="004259D0">
        <w:rPr>
          <w:i/>
          <w:lang w:val="hr-HR"/>
        </w:rPr>
        <w:t xml:space="preserve">Grafikon </w:t>
      </w:r>
      <w:r w:rsidR="004D031B" w:rsidRPr="004259D0">
        <w:rPr>
          <w:i/>
          <w:lang w:val="hr-HR"/>
        </w:rPr>
        <w:fldChar w:fldCharType="begin"/>
      </w:r>
      <w:r w:rsidR="004D031B" w:rsidRPr="004259D0">
        <w:rPr>
          <w:i/>
          <w:lang w:val="hr-HR"/>
        </w:rPr>
        <w:instrText xml:space="preserve"> STYLEREF 1 \s </w:instrText>
      </w:r>
      <w:r w:rsidR="004D031B" w:rsidRPr="004259D0">
        <w:rPr>
          <w:i/>
          <w:lang w:val="hr-HR"/>
        </w:rPr>
        <w:fldChar w:fldCharType="separate"/>
      </w:r>
      <w:r w:rsidR="00572AFD">
        <w:rPr>
          <w:i/>
          <w:noProof/>
          <w:lang w:val="hr-HR"/>
        </w:rPr>
        <w:t>3</w:t>
      </w:r>
      <w:r w:rsidR="004D031B" w:rsidRPr="004259D0">
        <w:rPr>
          <w:i/>
          <w:lang w:val="hr-HR"/>
        </w:rPr>
        <w:fldChar w:fldCharType="end"/>
      </w:r>
      <w:r w:rsidR="004D031B" w:rsidRPr="004259D0">
        <w:rPr>
          <w:i/>
          <w:lang w:val="hr-HR"/>
        </w:rPr>
        <w:t>.</w:t>
      </w:r>
      <w:r w:rsidR="004D031B" w:rsidRPr="004259D0">
        <w:rPr>
          <w:i/>
          <w:lang w:val="hr-HR"/>
        </w:rPr>
        <w:fldChar w:fldCharType="begin"/>
      </w:r>
      <w:r w:rsidR="004D031B" w:rsidRPr="004259D0">
        <w:rPr>
          <w:i/>
          <w:lang w:val="hr-HR"/>
        </w:rPr>
        <w:instrText xml:space="preserve"> SEQ Grafikon \* ARABIC \s 1 </w:instrText>
      </w:r>
      <w:r w:rsidR="004D031B" w:rsidRPr="004259D0">
        <w:rPr>
          <w:i/>
          <w:lang w:val="hr-HR"/>
        </w:rPr>
        <w:fldChar w:fldCharType="separate"/>
      </w:r>
      <w:r w:rsidR="00572AFD">
        <w:rPr>
          <w:i/>
          <w:noProof/>
          <w:lang w:val="hr-HR"/>
        </w:rPr>
        <w:t>2</w:t>
      </w:r>
      <w:r w:rsidR="004D031B" w:rsidRPr="004259D0">
        <w:rPr>
          <w:i/>
          <w:lang w:val="hr-HR"/>
        </w:rPr>
        <w:fldChar w:fldCharType="end"/>
      </w:r>
      <w:r w:rsidRPr="004259D0">
        <w:rPr>
          <w:i/>
          <w:lang w:val="hr-HR"/>
        </w:rPr>
        <w:t xml:space="preserve">. </w:t>
      </w:r>
      <w:r w:rsidR="00A55E0A" w:rsidRPr="004259D0">
        <w:rPr>
          <w:i/>
          <w:lang w:val="hr-HR"/>
        </w:rPr>
        <w:t xml:space="preserve">Pregled kretanja javnog duga do </w:t>
      </w:r>
      <w:r w:rsidR="005842FA" w:rsidRPr="004259D0">
        <w:rPr>
          <w:i/>
          <w:lang w:val="hr-HR"/>
        </w:rPr>
        <w:t>202</w:t>
      </w:r>
      <w:r w:rsidR="00D12C95" w:rsidRPr="004259D0">
        <w:rPr>
          <w:i/>
          <w:lang w:val="hr-HR"/>
        </w:rPr>
        <w:t>2</w:t>
      </w:r>
      <w:r w:rsidR="00A55E0A" w:rsidRPr="004259D0">
        <w:rPr>
          <w:i/>
          <w:lang w:val="hr-HR"/>
        </w:rPr>
        <w:t>. godine</w:t>
      </w:r>
      <w:bookmarkEnd w:id="33"/>
    </w:p>
    <w:p w14:paraId="3A996C12" w14:textId="03FEAEB0" w:rsidR="00B97FBE" w:rsidRPr="004259D0" w:rsidRDefault="00F55ED5" w:rsidP="00B97FBE">
      <w:pPr>
        <w:spacing w:after="0"/>
        <w:jc w:val="both"/>
        <w:rPr>
          <w:i/>
          <w:lang w:val="hr-HR"/>
        </w:rPr>
      </w:pPr>
      <w:r w:rsidRPr="004259D0">
        <w:rPr>
          <w:noProof/>
          <w:lang w:val="hr-HR" w:eastAsia="hr-HR"/>
        </w:rPr>
        <w:drawing>
          <wp:inline distT="0" distB="0" distL="0" distR="0" wp14:anchorId="445E3408" wp14:editId="41514940">
            <wp:extent cx="5760720" cy="2842454"/>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2842454"/>
                    </a:xfrm>
                    <a:prstGeom prst="rect">
                      <a:avLst/>
                    </a:prstGeom>
                    <a:noFill/>
                    <a:ln>
                      <a:noFill/>
                    </a:ln>
                  </pic:spPr>
                </pic:pic>
              </a:graphicData>
            </a:graphic>
          </wp:inline>
        </w:drawing>
      </w:r>
    </w:p>
    <w:p w14:paraId="2926619C" w14:textId="77777777" w:rsidR="00802FE7" w:rsidRPr="004259D0" w:rsidRDefault="00760928" w:rsidP="00293E22">
      <w:pPr>
        <w:jc w:val="both"/>
        <w:rPr>
          <w:i/>
          <w:sz w:val="20"/>
          <w:lang w:val="hr-HR"/>
        </w:rPr>
      </w:pPr>
      <w:r w:rsidRPr="004259D0">
        <w:rPr>
          <w:i/>
          <w:sz w:val="20"/>
          <w:lang w:val="hr-HR"/>
        </w:rPr>
        <w:t xml:space="preserve">Izvor: </w:t>
      </w:r>
      <w:r w:rsidR="00442B65" w:rsidRPr="004259D0">
        <w:rPr>
          <w:i/>
          <w:sz w:val="20"/>
          <w:lang w:val="hr-HR"/>
        </w:rPr>
        <w:t xml:space="preserve">DZS, HNB, </w:t>
      </w:r>
      <w:r w:rsidR="00647EB8" w:rsidRPr="004259D0">
        <w:rPr>
          <w:i/>
          <w:sz w:val="20"/>
          <w:lang w:val="hr-HR"/>
        </w:rPr>
        <w:t>M</w:t>
      </w:r>
      <w:r w:rsidR="00890EB3" w:rsidRPr="004259D0">
        <w:rPr>
          <w:i/>
          <w:sz w:val="20"/>
          <w:lang w:val="hr-HR"/>
        </w:rPr>
        <w:t>inistarstvo financija</w:t>
      </w:r>
    </w:p>
    <w:p w14:paraId="407B599D" w14:textId="77777777" w:rsidR="00802FE7" w:rsidRPr="004259D0" w:rsidRDefault="00802FE7" w:rsidP="00293E22">
      <w:pPr>
        <w:jc w:val="both"/>
        <w:rPr>
          <w:i/>
          <w:sz w:val="20"/>
          <w:lang w:val="hr-HR"/>
        </w:rPr>
      </w:pPr>
    </w:p>
    <w:p w14:paraId="5729C1DD" w14:textId="77777777" w:rsidR="00396242" w:rsidRPr="004259D0" w:rsidRDefault="00396242" w:rsidP="00293E22">
      <w:pPr>
        <w:jc w:val="both"/>
        <w:rPr>
          <w:lang w:val="hr-HR"/>
        </w:rPr>
      </w:pPr>
      <w:r w:rsidRPr="004259D0">
        <w:rPr>
          <w:lang w:val="hr-HR"/>
        </w:rPr>
        <w:br w:type="page"/>
      </w:r>
    </w:p>
    <w:p w14:paraId="77FF0F5A" w14:textId="77777777" w:rsidR="00396242" w:rsidRPr="004259D0" w:rsidRDefault="00396242" w:rsidP="008160DF">
      <w:pPr>
        <w:pStyle w:val="Heading1"/>
        <w:numPr>
          <w:ilvl w:val="0"/>
          <w:numId w:val="1"/>
        </w:numPr>
        <w:rPr>
          <w:sz w:val="32"/>
          <w:lang w:val="hr-HR"/>
        </w:rPr>
      </w:pPr>
      <w:bookmarkStart w:id="34" w:name="_Toc6418623"/>
      <w:r w:rsidRPr="004259D0">
        <w:rPr>
          <w:sz w:val="32"/>
          <w:lang w:val="hr-HR"/>
        </w:rPr>
        <w:t xml:space="preserve">ANALIZA OSJETLJIVOSTI I USPOREDBA S </w:t>
      </w:r>
      <w:r w:rsidR="00B96A74" w:rsidRPr="004259D0">
        <w:rPr>
          <w:sz w:val="32"/>
          <w:lang w:val="hr-HR"/>
        </w:rPr>
        <w:t>PRETHODNIM</w:t>
      </w:r>
      <w:r w:rsidRPr="004259D0">
        <w:rPr>
          <w:sz w:val="32"/>
          <w:lang w:val="hr-HR"/>
        </w:rPr>
        <w:t xml:space="preserve"> PROGRAMOM</w:t>
      </w:r>
      <w:bookmarkEnd w:id="34"/>
    </w:p>
    <w:p w14:paraId="0EFCE842" w14:textId="77777777" w:rsidR="00A40638" w:rsidRPr="004259D0" w:rsidRDefault="00A40638" w:rsidP="00A40638">
      <w:pPr>
        <w:rPr>
          <w:lang w:val="hr-HR"/>
        </w:rPr>
      </w:pPr>
    </w:p>
    <w:p w14:paraId="1766E97F" w14:textId="77777777" w:rsidR="00396242" w:rsidRPr="004259D0" w:rsidRDefault="00AE6FDC" w:rsidP="008160DF">
      <w:pPr>
        <w:pStyle w:val="Heading2"/>
        <w:numPr>
          <w:ilvl w:val="1"/>
          <w:numId w:val="1"/>
        </w:numPr>
        <w:rPr>
          <w:lang w:val="hr-HR"/>
        </w:rPr>
      </w:pPr>
      <w:bookmarkStart w:id="35" w:name="_Toc6418624"/>
      <w:r w:rsidRPr="004259D0">
        <w:rPr>
          <w:lang w:val="hr-HR"/>
        </w:rPr>
        <w:t>Fiskalni rizici</w:t>
      </w:r>
      <w:r w:rsidR="002D10EA" w:rsidRPr="004259D0">
        <w:rPr>
          <w:lang w:val="hr-HR"/>
        </w:rPr>
        <w:t xml:space="preserve"> i testovi osjetljivosti </w:t>
      </w:r>
      <w:r w:rsidR="00B4038A" w:rsidRPr="004259D0">
        <w:rPr>
          <w:lang w:val="hr-HR"/>
        </w:rPr>
        <w:t xml:space="preserve">kretanja </w:t>
      </w:r>
      <w:r w:rsidR="002D10EA" w:rsidRPr="004259D0">
        <w:rPr>
          <w:lang w:val="hr-HR"/>
        </w:rPr>
        <w:t>javnog duga</w:t>
      </w:r>
      <w:bookmarkEnd w:id="35"/>
    </w:p>
    <w:p w14:paraId="6218657B" w14:textId="77777777" w:rsidR="006A42C5" w:rsidRPr="004259D0" w:rsidRDefault="006A42C5" w:rsidP="006A42C5">
      <w:pPr>
        <w:rPr>
          <w:lang w:val="hr-HR"/>
        </w:rPr>
      </w:pPr>
    </w:p>
    <w:p w14:paraId="2B7B1F6F" w14:textId="77777777" w:rsidR="00B97FBE" w:rsidRPr="004259D0" w:rsidRDefault="00B97FBE" w:rsidP="00B97FBE">
      <w:pPr>
        <w:jc w:val="both"/>
        <w:rPr>
          <w:lang w:val="hr-HR"/>
        </w:rPr>
      </w:pPr>
      <w:bookmarkStart w:id="36" w:name="_Toc418144584"/>
      <w:r w:rsidRPr="004259D0">
        <w:rPr>
          <w:lang w:val="hr-HR"/>
        </w:rPr>
        <w:t xml:space="preserve">Fiskalne projekcije za srednjoročno razdoblje naslanjaju se na makroekonomske pretpostavke te bi, u tom smislu, rizici povezani s nižom razinom gospodarske aktivnosti u odnosu na predstavljeni makroekonomski scenarij u ovom programu imali značajne implikacije na očekivano kretanje i rezultate fiskalnih veličina, posebice prihoda od poreza i doprinosa u nadolazećem razdoblju, što bi dovelo do izravnog utjecaja na visinu salda proračuna opće države. </w:t>
      </w:r>
    </w:p>
    <w:p w14:paraId="2D71AAB6" w14:textId="77777777" w:rsidR="00B97FBE" w:rsidRPr="004259D0" w:rsidRDefault="00B97FBE" w:rsidP="00B97FBE">
      <w:pPr>
        <w:jc w:val="both"/>
        <w:rPr>
          <w:lang w:val="hr-HR"/>
        </w:rPr>
      </w:pPr>
      <w:r w:rsidRPr="004259D0">
        <w:rPr>
          <w:lang w:val="hr-HR"/>
        </w:rPr>
        <w:t xml:space="preserve">Iako je posljednja mirovinska reforma pridonijela smanjenju dugoročnih rizika za mirovinski sustav,  mirovinski sustav RH se suočava s vrlo nepovoljnim demografskim trendovima koji se prvenstveno odnose na starenje stanovništva, ali i na emigracijske pritiske s kojima se RH suočava. Nastavak takvih trendova stvorio bi dodatan pritisak na sustav generacijske solidarnosti što bi moglo imati negativan učinak na održivost javnih financija u dugom roku. Osim toga, stanje dospjelih nepodmirenih obveza u zdravstvenom sustavu predstavlja dodatan fiskalni rizik koji je potrebno adresirati u što kraćem roku provedbom mjera usmjerenih racionalizaciji bolničkog sustava i promicanju fiskalno odgovornog upravljanja u bolnicama kako bi se postigla dugoročna financijska i operativna održivost poslovanja bolnica. </w:t>
      </w:r>
    </w:p>
    <w:p w14:paraId="7CAEC33B" w14:textId="78FC1846" w:rsidR="00B97FBE" w:rsidRPr="004259D0" w:rsidRDefault="00B97FBE" w:rsidP="00B97FBE">
      <w:pPr>
        <w:jc w:val="both"/>
        <w:rPr>
          <w:lang w:val="hr-HR"/>
        </w:rPr>
      </w:pPr>
      <w:r w:rsidRPr="004259D0">
        <w:rPr>
          <w:lang w:val="hr-HR"/>
        </w:rPr>
        <w:t xml:space="preserve">Premda je javni dug u protekle </w:t>
      </w:r>
      <w:r w:rsidR="00B76AC4" w:rsidRPr="004259D0">
        <w:rPr>
          <w:lang w:val="hr-HR"/>
        </w:rPr>
        <w:t>tri</w:t>
      </w:r>
      <w:r w:rsidRPr="004259D0">
        <w:rPr>
          <w:lang w:val="hr-HR"/>
        </w:rPr>
        <w:t xml:space="preserve"> godine smanjen za </w:t>
      </w:r>
      <w:r w:rsidR="00F55ED5" w:rsidRPr="004259D0">
        <w:rPr>
          <w:lang w:val="hr-HR"/>
        </w:rPr>
        <w:t>više od</w:t>
      </w:r>
      <w:r w:rsidRPr="004259D0">
        <w:rPr>
          <w:lang w:val="hr-HR"/>
        </w:rPr>
        <w:t xml:space="preserve"> </w:t>
      </w:r>
      <w:r w:rsidR="00F55ED5" w:rsidRPr="004259D0">
        <w:rPr>
          <w:lang w:val="hr-HR"/>
        </w:rPr>
        <w:t>9</w:t>
      </w:r>
      <w:r w:rsidRPr="004259D0">
        <w:rPr>
          <w:lang w:val="hr-HR"/>
        </w:rPr>
        <w:t xml:space="preserve"> postotnih bodova, njegova visoka razina od 28</w:t>
      </w:r>
      <w:r w:rsidR="00F55ED5" w:rsidRPr="004259D0">
        <w:rPr>
          <w:lang w:val="hr-HR"/>
        </w:rPr>
        <w:t>4</w:t>
      </w:r>
      <w:r w:rsidRPr="004259D0">
        <w:rPr>
          <w:lang w:val="hr-HR"/>
        </w:rPr>
        <w:t>,</w:t>
      </w:r>
      <w:r w:rsidR="00F55ED5" w:rsidRPr="004259D0">
        <w:rPr>
          <w:lang w:val="hr-HR"/>
        </w:rPr>
        <w:t>7</w:t>
      </w:r>
      <w:r w:rsidRPr="004259D0">
        <w:rPr>
          <w:lang w:val="hr-HR"/>
        </w:rPr>
        <w:t xml:space="preserve"> milijardi kuna i dalje predstavlja izvor ranjivosti za hrvatsko gospodarstvo. Naime, s obzirom na visinu duga, dugoročno povećanje referentnih tržišnih kamatnih stopa predstavljalo bi znatnu prijetnju fiskalnoj održivosti. Povećanje troška financiranja dovelo bi do visokih troškova servisiranja duga čime bi nastao i pritisak na tekuće poslovanje države. Tako bi u scenariju povećanja prosječne implicitne kamatne stope na dug za 2 postotna boda u razdoblju 2019. - 2022., javni dug zabilježio rast iznad projiciranog te bi krajem projekcijskog razdoblja bio veći za </w:t>
      </w:r>
      <w:r w:rsidR="00BD6D56" w:rsidRPr="004259D0">
        <w:rPr>
          <w:lang w:val="hr-HR"/>
        </w:rPr>
        <w:t>7,4</w:t>
      </w:r>
      <w:r w:rsidRPr="004259D0">
        <w:rPr>
          <w:lang w:val="hr-HR"/>
        </w:rPr>
        <w:t xml:space="preserve"> postotn</w:t>
      </w:r>
      <w:r w:rsidR="00BD6D56" w:rsidRPr="004259D0">
        <w:rPr>
          <w:lang w:val="hr-HR"/>
        </w:rPr>
        <w:t>a</w:t>
      </w:r>
      <w:r w:rsidRPr="004259D0">
        <w:rPr>
          <w:lang w:val="hr-HR"/>
        </w:rPr>
        <w:t xml:space="preserve"> bod</w:t>
      </w:r>
      <w:r w:rsidR="00BD6D56" w:rsidRPr="004259D0">
        <w:rPr>
          <w:lang w:val="hr-HR"/>
        </w:rPr>
        <w:t>a</w:t>
      </w:r>
      <w:r w:rsidRPr="004259D0">
        <w:rPr>
          <w:lang w:val="hr-HR"/>
        </w:rPr>
        <w:t xml:space="preserve"> nego u osnovnom scenariju</w:t>
      </w:r>
      <w:r w:rsidR="00032A54" w:rsidRPr="004259D0">
        <w:rPr>
          <w:lang w:val="hr-HR"/>
        </w:rPr>
        <w:t xml:space="preserve">, odnosno dosegao bi razinu d </w:t>
      </w:r>
      <w:r w:rsidR="00BD6D56" w:rsidRPr="004259D0">
        <w:rPr>
          <w:lang w:val="hr-HR"/>
        </w:rPr>
        <w:t>69,4</w:t>
      </w:r>
      <w:r w:rsidR="00032A54" w:rsidRPr="004259D0">
        <w:rPr>
          <w:lang w:val="hr-HR"/>
        </w:rPr>
        <w:t>% BDP-a</w:t>
      </w:r>
      <w:r w:rsidRPr="004259D0">
        <w:rPr>
          <w:lang w:val="hr-HR"/>
        </w:rPr>
        <w:t>.</w:t>
      </w:r>
    </w:p>
    <w:p w14:paraId="5784BAB3" w14:textId="727CEF1C" w:rsidR="00B97FBE" w:rsidRPr="004259D0" w:rsidRDefault="00B97FBE" w:rsidP="00B97FBE">
      <w:pPr>
        <w:jc w:val="both"/>
        <w:rPr>
          <w:lang w:val="hr-HR"/>
        </w:rPr>
      </w:pPr>
      <w:r w:rsidRPr="004259D0">
        <w:rPr>
          <w:lang w:val="hr-HR"/>
        </w:rPr>
        <w:t>Nadalje, visok udio javnog duga denominiranog u eurima (71,2%) ukazuje kako je kretanje duga podložno tečajnom riziku. Iz provedenog testa osjetljivosti proizlazi da bi deprecijacija kune prema euru od 20% podigla razinu javnog duga na 81,8% BDP-a u 2019. godini, odnosno javni dug bi bio veći za 10,2 postotna boda u odnosu na osnovni scenarij.</w:t>
      </w:r>
    </w:p>
    <w:p w14:paraId="19FB4011" w14:textId="3F49D586" w:rsidR="00B97FBE" w:rsidRPr="004259D0" w:rsidRDefault="00B97FBE" w:rsidP="00B97FBE">
      <w:pPr>
        <w:jc w:val="both"/>
        <w:rPr>
          <w:rFonts w:eastAsia="Times New Roman" w:cs="Times New Roman"/>
          <w:lang w:val="hr-HR" w:eastAsia="hr-HR"/>
        </w:rPr>
      </w:pPr>
      <w:r w:rsidRPr="004259D0">
        <w:rPr>
          <w:rFonts w:eastAsia="Times New Roman" w:cs="Times New Roman"/>
          <w:lang w:val="hr-HR" w:eastAsia="hr-HR"/>
        </w:rPr>
        <w:t>Iako se RH nalazi pri dnu po visini potencijalnih obveza u usporedbi s ostalim zemljama članicama EU, takve obveze i dalje predstavljaju potencijalno veliki rizik za javne financije. Takav rizik materijalizirao se u 2018. godini kada je RH na ime protestiranih jamstava za Uljanik grupu</w:t>
      </w:r>
      <w:r w:rsidR="00F55ED5" w:rsidRPr="004259D0">
        <w:rPr>
          <w:rFonts w:eastAsia="Times New Roman" w:cs="Times New Roman"/>
          <w:lang w:val="hr-HR" w:eastAsia="hr-HR"/>
        </w:rPr>
        <w:t xml:space="preserve">, sukladno </w:t>
      </w:r>
      <w:r w:rsidR="007325BF" w:rsidRPr="004259D0">
        <w:rPr>
          <w:rFonts w:eastAsia="Times New Roman" w:cs="Times New Roman"/>
          <w:lang w:val="hr-HR" w:eastAsia="hr-HR"/>
        </w:rPr>
        <w:t xml:space="preserve">metodologiji </w:t>
      </w:r>
      <w:r w:rsidR="00F55ED5" w:rsidRPr="004259D0">
        <w:rPr>
          <w:rFonts w:eastAsia="Times New Roman" w:cs="Times New Roman"/>
          <w:lang w:val="hr-HR" w:eastAsia="hr-HR"/>
        </w:rPr>
        <w:t>ESA 2010, reklasificirala</w:t>
      </w:r>
      <w:r w:rsidRPr="004259D0">
        <w:rPr>
          <w:rFonts w:eastAsia="Times New Roman" w:cs="Times New Roman"/>
          <w:lang w:val="hr-HR" w:eastAsia="hr-HR"/>
        </w:rPr>
        <w:t xml:space="preserve"> </w:t>
      </w:r>
      <w:r w:rsidR="00F55ED5" w:rsidRPr="004259D0">
        <w:rPr>
          <w:rFonts w:eastAsia="Times New Roman" w:cs="Times New Roman"/>
          <w:lang w:val="hr-HR" w:eastAsia="hr-HR"/>
        </w:rPr>
        <w:t>cjelokupan jamčeni dug Uljanik grupe od 4,4 milijarde kuna u javni dug</w:t>
      </w:r>
      <w:r w:rsidR="00901752" w:rsidRPr="004259D0">
        <w:rPr>
          <w:rFonts w:eastAsia="Times New Roman" w:cs="Times New Roman"/>
          <w:lang w:val="hr-HR" w:eastAsia="hr-HR"/>
        </w:rPr>
        <w:t>,</w:t>
      </w:r>
      <w:r w:rsidR="00F55ED5" w:rsidRPr="004259D0">
        <w:rPr>
          <w:rFonts w:eastAsia="Times New Roman" w:cs="Times New Roman"/>
          <w:lang w:val="hr-HR" w:eastAsia="hr-HR"/>
        </w:rPr>
        <w:t xml:space="preserve"> </w:t>
      </w:r>
      <w:r w:rsidRPr="004259D0">
        <w:rPr>
          <w:rFonts w:eastAsia="Times New Roman" w:cs="Times New Roman"/>
          <w:lang w:val="hr-HR" w:eastAsia="hr-HR"/>
        </w:rPr>
        <w:t xml:space="preserve">čime je došlo do </w:t>
      </w:r>
      <w:r w:rsidRPr="004259D0">
        <w:rPr>
          <w:lang w:val="hr-HR"/>
        </w:rPr>
        <w:t>jednokratnog povećanja razine javnog dug</w:t>
      </w:r>
      <w:r w:rsidR="00F632C1" w:rsidRPr="004259D0">
        <w:rPr>
          <w:lang w:val="hr-HR"/>
        </w:rPr>
        <w:t xml:space="preserve">a. </w:t>
      </w:r>
      <w:r w:rsidRPr="004259D0">
        <w:rPr>
          <w:lang w:val="hr-HR"/>
        </w:rPr>
        <w:t xml:space="preserve">Tako bi u pretpostavljenom scenariju preuzimanja jamstava u javni dug u iznosu od 2% BDP-a, javni dug dostigao razinu od 73,7% BDP-a u 2019. godini. </w:t>
      </w:r>
    </w:p>
    <w:p w14:paraId="5CFA104D" w14:textId="77777777" w:rsidR="00D12C95" w:rsidRPr="004259D0" w:rsidRDefault="00D12C95" w:rsidP="00A35861">
      <w:pPr>
        <w:spacing w:after="0" w:line="240" w:lineRule="auto"/>
        <w:jc w:val="both"/>
        <w:rPr>
          <w:lang w:val="hr-HR"/>
        </w:rPr>
      </w:pPr>
    </w:p>
    <w:p w14:paraId="0050340A" w14:textId="77777777" w:rsidR="00760928" w:rsidRPr="004259D0" w:rsidRDefault="00760928" w:rsidP="00A35861">
      <w:pPr>
        <w:spacing w:after="0" w:line="240" w:lineRule="auto"/>
        <w:jc w:val="both"/>
        <w:rPr>
          <w:i/>
          <w:lang w:val="hr-HR"/>
        </w:rPr>
      </w:pPr>
      <w:bookmarkStart w:id="37" w:name="_Toc6418647"/>
      <w:r w:rsidRPr="004259D0">
        <w:rPr>
          <w:i/>
          <w:lang w:val="hr-HR"/>
        </w:rPr>
        <w:t xml:space="preserve">Grafikon </w:t>
      </w:r>
      <w:r w:rsidR="004D031B" w:rsidRPr="004259D0">
        <w:rPr>
          <w:i/>
          <w:lang w:val="hr-HR"/>
        </w:rPr>
        <w:fldChar w:fldCharType="begin"/>
      </w:r>
      <w:r w:rsidR="004D031B" w:rsidRPr="004259D0">
        <w:rPr>
          <w:i/>
          <w:lang w:val="hr-HR"/>
        </w:rPr>
        <w:instrText xml:space="preserve"> STYLEREF 1 \s </w:instrText>
      </w:r>
      <w:r w:rsidR="004D031B" w:rsidRPr="004259D0">
        <w:rPr>
          <w:i/>
          <w:lang w:val="hr-HR"/>
        </w:rPr>
        <w:fldChar w:fldCharType="separate"/>
      </w:r>
      <w:r w:rsidR="00572AFD">
        <w:rPr>
          <w:i/>
          <w:noProof/>
          <w:lang w:val="hr-HR"/>
        </w:rPr>
        <w:t>4</w:t>
      </w:r>
      <w:r w:rsidR="004D031B" w:rsidRPr="004259D0">
        <w:rPr>
          <w:i/>
          <w:lang w:val="hr-HR"/>
        </w:rPr>
        <w:fldChar w:fldCharType="end"/>
      </w:r>
      <w:r w:rsidR="004D031B" w:rsidRPr="004259D0">
        <w:rPr>
          <w:i/>
          <w:lang w:val="hr-HR"/>
        </w:rPr>
        <w:t>.</w:t>
      </w:r>
      <w:r w:rsidR="004D031B" w:rsidRPr="004259D0">
        <w:rPr>
          <w:i/>
          <w:lang w:val="hr-HR"/>
        </w:rPr>
        <w:fldChar w:fldCharType="begin"/>
      </w:r>
      <w:r w:rsidR="004D031B" w:rsidRPr="004259D0">
        <w:rPr>
          <w:i/>
          <w:lang w:val="hr-HR"/>
        </w:rPr>
        <w:instrText xml:space="preserve"> SEQ Grafikon \* ARABIC \s 1 </w:instrText>
      </w:r>
      <w:r w:rsidR="004D031B" w:rsidRPr="004259D0">
        <w:rPr>
          <w:i/>
          <w:lang w:val="hr-HR"/>
        </w:rPr>
        <w:fldChar w:fldCharType="separate"/>
      </w:r>
      <w:r w:rsidR="00572AFD">
        <w:rPr>
          <w:i/>
          <w:noProof/>
          <w:lang w:val="hr-HR"/>
        </w:rPr>
        <w:t>1</w:t>
      </w:r>
      <w:r w:rsidR="004D031B" w:rsidRPr="004259D0">
        <w:rPr>
          <w:i/>
          <w:lang w:val="hr-HR"/>
        </w:rPr>
        <w:fldChar w:fldCharType="end"/>
      </w:r>
      <w:r w:rsidR="003067E5" w:rsidRPr="004259D0">
        <w:rPr>
          <w:i/>
          <w:lang w:val="hr-HR"/>
        </w:rPr>
        <w:t>.</w:t>
      </w:r>
      <w:r w:rsidRPr="004259D0">
        <w:rPr>
          <w:i/>
          <w:lang w:val="hr-HR"/>
        </w:rPr>
        <w:t xml:space="preserve"> Kretanje udjela javnog duga u </w:t>
      </w:r>
      <w:r w:rsidR="004A0E60" w:rsidRPr="004259D0">
        <w:rPr>
          <w:i/>
          <w:lang w:val="hr-HR"/>
        </w:rPr>
        <w:t xml:space="preserve">BDP-u </w:t>
      </w:r>
      <w:r w:rsidRPr="004259D0">
        <w:rPr>
          <w:i/>
          <w:lang w:val="hr-HR"/>
        </w:rPr>
        <w:t>prema određenim scenarijima</w:t>
      </w:r>
      <w:bookmarkEnd w:id="36"/>
      <w:bookmarkEnd w:id="37"/>
    </w:p>
    <w:p w14:paraId="41DE4EA3" w14:textId="2D3E0E9B" w:rsidR="007B69FD" w:rsidRPr="004259D0" w:rsidRDefault="00901752" w:rsidP="00A55E0A">
      <w:pPr>
        <w:spacing w:after="0" w:line="240" w:lineRule="auto"/>
        <w:jc w:val="both"/>
      </w:pPr>
      <w:r w:rsidRPr="004259D0">
        <w:rPr>
          <w:noProof/>
          <w:lang w:val="hr-HR" w:eastAsia="hr-HR"/>
        </w:rPr>
        <w:drawing>
          <wp:inline distT="0" distB="0" distL="0" distR="0" wp14:anchorId="3D888432" wp14:editId="794D7CB3">
            <wp:extent cx="5760720" cy="3180848"/>
            <wp:effectExtent l="0" t="0" r="0" b="63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3180848"/>
                    </a:xfrm>
                    <a:prstGeom prst="rect">
                      <a:avLst/>
                    </a:prstGeom>
                    <a:noFill/>
                    <a:ln>
                      <a:noFill/>
                    </a:ln>
                  </pic:spPr>
                </pic:pic>
              </a:graphicData>
            </a:graphic>
          </wp:inline>
        </w:drawing>
      </w:r>
    </w:p>
    <w:p w14:paraId="1FE923D9" w14:textId="294E39FA" w:rsidR="00760928" w:rsidRPr="004259D0" w:rsidRDefault="00760928" w:rsidP="00A55E0A">
      <w:pPr>
        <w:spacing w:after="0" w:line="240" w:lineRule="auto"/>
        <w:jc w:val="both"/>
        <w:rPr>
          <w:i/>
          <w:sz w:val="20"/>
          <w:lang w:val="hr-HR"/>
        </w:rPr>
      </w:pPr>
      <w:r w:rsidRPr="004259D0">
        <w:rPr>
          <w:i/>
          <w:sz w:val="20"/>
          <w:lang w:val="hr-HR"/>
        </w:rPr>
        <w:t>Izvor: Ministarstvo financija</w:t>
      </w:r>
    </w:p>
    <w:p w14:paraId="4E1108DC" w14:textId="77777777" w:rsidR="002462B2" w:rsidRPr="004259D0" w:rsidRDefault="002462B2" w:rsidP="002462B2">
      <w:pPr>
        <w:rPr>
          <w:lang w:val="hr-HR"/>
        </w:rPr>
      </w:pPr>
    </w:p>
    <w:p w14:paraId="7E8DBDA7" w14:textId="77777777" w:rsidR="003D4035" w:rsidRPr="004259D0" w:rsidRDefault="003D4035" w:rsidP="002462B2">
      <w:pPr>
        <w:rPr>
          <w:lang w:val="hr-HR"/>
        </w:rPr>
      </w:pPr>
    </w:p>
    <w:p w14:paraId="1EB1B8CA" w14:textId="77777777" w:rsidR="002846CB" w:rsidRPr="004259D0" w:rsidRDefault="00AE6FDC" w:rsidP="008160DF">
      <w:pPr>
        <w:pStyle w:val="Heading2"/>
        <w:numPr>
          <w:ilvl w:val="1"/>
          <w:numId w:val="1"/>
        </w:numPr>
        <w:rPr>
          <w:lang w:val="hr-HR"/>
        </w:rPr>
      </w:pPr>
      <w:bookmarkStart w:id="38" w:name="_Toc6418625"/>
      <w:r w:rsidRPr="004259D0">
        <w:rPr>
          <w:lang w:val="hr-HR"/>
        </w:rPr>
        <w:t xml:space="preserve">Usporedba </w:t>
      </w:r>
      <w:r w:rsidR="006B4E88" w:rsidRPr="004259D0">
        <w:rPr>
          <w:lang w:val="hr-HR"/>
        </w:rPr>
        <w:t>s prethodnim Programom</w:t>
      </w:r>
      <w:bookmarkEnd w:id="38"/>
      <w:r w:rsidRPr="004259D0">
        <w:rPr>
          <w:lang w:val="hr-HR"/>
        </w:rPr>
        <w:t xml:space="preserve"> </w:t>
      </w:r>
    </w:p>
    <w:p w14:paraId="230AE072" w14:textId="77777777" w:rsidR="00396E1D" w:rsidRPr="004259D0" w:rsidRDefault="00396E1D" w:rsidP="004C4009">
      <w:pPr>
        <w:jc w:val="both"/>
        <w:rPr>
          <w:lang w:val="hr-HR"/>
        </w:rPr>
      </w:pPr>
    </w:p>
    <w:p w14:paraId="73513EB1" w14:textId="716180EE" w:rsidR="00661A4E" w:rsidRPr="004259D0" w:rsidRDefault="00661A4E" w:rsidP="00661A4E">
      <w:pPr>
        <w:jc w:val="both"/>
        <w:rPr>
          <w:lang w:val="hr-HR"/>
        </w:rPr>
      </w:pPr>
      <w:r w:rsidRPr="004259D0">
        <w:rPr>
          <w:lang w:val="hr-HR"/>
        </w:rPr>
        <w:t>Usporedba ukupnih prihoda, rashoda i manjka proračuna opće države u novom i prethodnom Programu konvergencije pokazuje razlike</w:t>
      </w:r>
      <w:r w:rsidR="00CD0F95" w:rsidRPr="004259D0">
        <w:rPr>
          <w:lang w:val="hr-HR"/>
        </w:rPr>
        <w:t xml:space="preserve">, koje prije svega </w:t>
      </w:r>
      <w:r w:rsidRPr="004259D0">
        <w:rPr>
          <w:lang w:val="hr-HR"/>
        </w:rPr>
        <w:t>proizlaze iz različitih razina nominalnog bruto domaćeg proizvoda kao i povoljnijih proračunskih kretanja i s prihodne i rashodne strane u odnosu na prethodno očekivane</w:t>
      </w:r>
      <w:r w:rsidR="00CD0F95" w:rsidRPr="004259D0">
        <w:rPr>
          <w:lang w:val="hr-HR"/>
        </w:rPr>
        <w:t>.</w:t>
      </w:r>
    </w:p>
    <w:p w14:paraId="3266183D" w14:textId="77777777" w:rsidR="00CD0F95" w:rsidRPr="004259D0" w:rsidRDefault="00CD0F95" w:rsidP="00661A4E">
      <w:pPr>
        <w:jc w:val="both"/>
        <w:rPr>
          <w:lang w:val="hr-HR"/>
        </w:rPr>
      </w:pPr>
      <w:r w:rsidRPr="004259D0">
        <w:rPr>
          <w:lang w:val="hr-HR"/>
        </w:rPr>
        <w:t xml:space="preserve">Naime, </w:t>
      </w:r>
      <w:r w:rsidR="00661A4E" w:rsidRPr="004259D0">
        <w:rPr>
          <w:lang w:val="hr-HR"/>
        </w:rPr>
        <w:t>Program konvergencije za razdoblje 2018. - 2021. polazio je od pretpostavke realnog rasta bruto domaćeg proizvoda od 2,8% u 2018., u 2019. od 2,7%, u 2020. i 2021. od 2,5%. Programom konvergencije iz 2019. projiciran je re</w:t>
      </w:r>
      <w:r w:rsidR="008C689C" w:rsidRPr="004259D0">
        <w:rPr>
          <w:lang w:val="hr-HR"/>
        </w:rPr>
        <w:t>alni rast od 2,5% u 2019., u 2020</w:t>
      </w:r>
      <w:r w:rsidR="00661A4E" w:rsidRPr="004259D0">
        <w:rPr>
          <w:lang w:val="hr-HR"/>
        </w:rPr>
        <w:t>. od 2,4%, u 202</w:t>
      </w:r>
      <w:r w:rsidR="008C689C" w:rsidRPr="004259D0">
        <w:rPr>
          <w:lang w:val="hr-HR"/>
        </w:rPr>
        <w:t>1</w:t>
      </w:r>
      <w:r w:rsidR="00661A4E" w:rsidRPr="004259D0">
        <w:rPr>
          <w:lang w:val="hr-HR"/>
        </w:rPr>
        <w:t>. i 202</w:t>
      </w:r>
      <w:r w:rsidR="008C689C" w:rsidRPr="004259D0">
        <w:rPr>
          <w:lang w:val="hr-HR"/>
        </w:rPr>
        <w:t>2</w:t>
      </w:r>
      <w:r w:rsidR="00661A4E" w:rsidRPr="004259D0">
        <w:rPr>
          <w:lang w:val="hr-HR"/>
        </w:rPr>
        <w:t xml:space="preserve">. od 2,3%. Usporavanje rasta u projekcijskom razdoblju rezultat je konvergencije rasta BDP-a prema rastu potencijalnog BDP-a u srednjoročnom razdoblju. </w:t>
      </w:r>
    </w:p>
    <w:p w14:paraId="0D012DCF" w14:textId="039D1C5A" w:rsidR="00CD0F95" w:rsidRPr="004259D0" w:rsidRDefault="00B360D9" w:rsidP="00661A4E">
      <w:pPr>
        <w:jc w:val="both"/>
        <w:rPr>
          <w:lang w:val="hr-HR"/>
        </w:rPr>
      </w:pPr>
      <w:r w:rsidRPr="004259D0">
        <w:rPr>
          <w:lang w:val="hr-HR"/>
        </w:rPr>
        <w:t>Nadalje, prihodi sektora opće države su u 2018. godini bili za 0,6 postotnih bodova veći u odnosu na prvotno planirane, dok su rashodi bili manji za 0,1 postotni bod. Takva kretanja utjecala su na značajno bolje ostvarenje salda proračuna opće države i to za 0,7 postotnih bodova. U razdoblju 2019. – 2021. nove projekcije prihoda sektora opće države su u prosjeku za 1,8 postotnih bodova veće u odnosu na prošlogodišnji Program. U isto vrijeme rashodi su veći za prosječnih 1,7 postotnih bodova. Stoga je i projekcija salda proračuna opće države povoljnija u odnosu na prethodni Program.</w:t>
      </w:r>
    </w:p>
    <w:p w14:paraId="62271D09" w14:textId="77777777" w:rsidR="006A6F08" w:rsidRPr="004259D0" w:rsidRDefault="006A6F08" w:rsidP="00E47115">
      <w:pPr>
        <w:spacing w:after="0" w:line="240" w:lineRule="auto"/>
        <w:jc w:val="both"/>
        <w:rPr>
          <w:i/>
          <w:lang w:val="hr-HR"/>
        </w:rPr>
      </w:pPr>
    </w:p>
    <w:p w14:paraId="1191DA88" w14:textId="77777777" w:rsidR="006A6F08" w:rsidRPr="004259D0" w:rsidRDefault="006A6F08" w:rsidP="00E47115">
      <w:pPr>
        <w:spacing w:after="0" w:line="240" w:lineRule="auto"/>
        <w:jc w:val="both"/>
        <w:rPr>
          <w:i/>
          <w:lang w:val="hr-HR"/>
        </w:rPr>
      </w:pPr>
    </w:p>
    <w:p w14:paraId="23795B57" w14:textId="77777777" w:rsidR="006A6F08" w:rsidRPr="004259D0" w:rsidRDefault="006A6F08" w:rsidP="00E47115">
      <w:pPr>
        <w:spacing w:after="0" w:line="240" w:lineRule="auto"/>
        <w:jc w:val="both"/>
        <w:rPr>
          <w:i/>
          <w:lang w:val="hr-HR"/>
        </w:rPr>
      </w:pPr>
    </w:p>
    <w:p w14:paraId="01B1DA79" w14:textId="77777777" w:rsidR="006A6F08" w:rsidRPr="004259D0" w:rsidRDefault="006A6F08" w:rsidP="00E47115">
      <w:pPr>
        <w:spacing w:after="0" w:line="240" w:lineRule="auto"/>
        <w:jc w:val="both"/>
        <w:rPr>
          <w:i/>
          <w:lang w:val="hr-HR"/>
        </w:rPr>
      </w:pPr>
    </w:p>
    <w:p w14:paraId="1BE45A26" w14:textId="77777777" w:rsidR="00E80146" w:rsidRPr="004259D0" w:rsidRDefault="00FC6D5A" w:rsidP="00E47115">
      <w:pPr>
        <w:spacing w:after="0" w:line="240" w:lineRule="auto"/>
        <w:jc w:val="both"/>
        <w:rPr>
          <w:i/>
          <w:lang w:val="hr-HR"/>
        </w:rPr>
      </w:pPr>
      <w:bookmarkStart w:id="39" w:name="_Toc6418640"/>
      <w:r w:rsidRPr="004259D0">
        <w:rPr>
          <w:i/>
          <w:lang w:val="hr-HR"/>
        </w:rPr>
        <w:t xml:space="preserve">Tablica </w:t>
      </w:r>
      <w:r w:rsidR="00821428" w:rsidRPr="004259D0">
        <w:rPr>
          <w:i/>
          <w:lang w:val="hr-HR"/>
        </w:rPr>
        <w:fldChar w:fldCharType="begin"/>
      </w:r>
      <w:r w:rsidR="00821428" w:rsidRPr="004259D0">
        <w:rPr>
          <w:i/>
          <w:lang w:val="hr-HR"/>
        </w:rPr>
        <w:instrText xml:space="preserve"> STYLEREF 1 \s </w:instrText>
      </w:r>
      <w:r w:rsidR="00821428" w:rsidRPr="004259D0">
        <w:rPr>
          <w:i/>
          <w:lang w:val="hr-HR"/>
        </w:rPr>
        <w:fldChar w:fldCharType="separate"/>
      </w:r>
      <w:r w:rsidR="00572AFD">
        <w:rPr>
          <w:i/>
          <w:noProof/>
          <w:lang w:val="hr-HR"/>
        </w:rPr>
        <w:t>4</w:t>
      </w:r>
      <w:r w:rsidR="00821428" w:rsidRPr="004259D0">
        <w:rPr>
          <w:i/>
          <w:lang w:val="hr-HR"/>
        </w:rPr>
        <w:fldChar w:fldCharType="end"/>
      </w:r>
      <w:r w:rsidR="00821428" w:rsidRPr="004259D0">
        <w:rPr>
          <w:i/>
          <w:lang w:val="hr-HR"/>
        </w:rPr>
        <w:t>.</w:t>
      </w:r>
      <w:r w:rsidR="00821428" w:rsidRPr="004259D0">
        <w:rPr>
          <w:i/>
          <w:lang w:val="hr-HR"/>
        </w:rPr>
        <w:fldChar w:fldCharType="begin"/>
      </w:r>
      <w:r w:rsidR="00821428" w:rsidRPr="004259D0">
        <w:rPr>
          <w:i/>
          <w:lang w:val="hr-HR"/>
        </w:rPr>
        <w:instrText xml:space="preserve"> SEQ Tablica \* ARABIC \s 1 </w:instrText>
      </w:r>
      <w:r w:rsidR="00821428" w:rsidRPr="004259D0">
        <w:rPr>
          <w:i/>
          <w:lang w:val="hr-HR"/>
        </w:rPr>
        <w:fldChar w:fldCharType="separate"/>
      </w:r>
      <w:r w:rsidR="00572AFD">
        <w:rPr>
          <w:i/>
          <w:noProof/>
          <w:lang w:val="hr-HR"/>
        </w:rPr>
        <w:t>1</w:t>
      </w:r>
      <w:r w:rsidR="00821428" w:rsidRPr="004259D0">
        <w:rPr>
          <w:i/>
          <w:lang w:val="hr-HR"/>
        </w:rPr>
        <w:fldChar w:fldCharType="end"/>
      </w:r>
      <w:r w:rsidRPr="004259D0">
        <w:rPr>
          <w:i/>
          <w:lang w:val="hr-HR"/>
        </w:rPr>
        <w:t xml:space="preserve">. </w:t>
      </w:r>
      <w:r w:rsidR="0015074C" w:rsidRPr="004259D0">
        <w:rPr>
          <w:i/>
          <w:lang w:val="hr-HR"/>
        </w:rPr>
        <w:t>Usporedba prihoda, rashoda i neto pozajmljivanja/zaduživanja opće države</w:t>
      </w:r>
      <w:bookmarkEnd w:id="39"/>
    </w:p>
    <w:p w14:paraId="18B7A824" w14:textId="65275E65" w:rsidR="00AB3DEB" w:rsidRPr="004259D0" w:rsidRDefault="00AB3DEB" w:rsidP="00282048">
      <w:pPr>
        <w:jc w:val="both"/>
        <w:rPr>
          <w:i/>
          <w:noProof/>
          <w:sz w:val="20"/>
          <w:lang w:val="hr-HR" w:eastAsia="hr-HR"/>
        </w:rPr>
      </w:pPr>
      <w:r w:rsidRPr="004259D0">
        <w:rPr>
          <w:noProof/>
          <w:lang w:val="hr-HR" w:eastAsia="hr-HR"/>
        </w:rPr>
        <w:drawing>
          <wp:inline distT="0" distB="0" distL="0" distR="0" wp14:anchorId="1A8E2FD9" wp14:editId="7EDB0978">
            <wp:extent cx="5760720" cy="2664000"/>
            <wp:effectExtent l="0" t="0" r="0" b="3175"/>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664000"/>
                    </a:xfrm>
                    <a:prstGeom prst="rect">
                      <a:avLst/>
                    </a:prstGeom>
                    <a:noFill/>
                    <a:ln>
                      <a:noFill/>
                    </a:ln>
                  </pic:spPr>
                </pic:pic>
              </a:graphicData>
            </a:graphic>
          </wp:inline>
        </w:drawing>
      </w:r>
    </w:p>
    <w:p w14:paraId="226332EE" w14:textId="35ABBE7E" w:rsidR="00396242" w:rsidRPr="004259D0" w:rsidRDefault="002846CB" w:rsidP="00282048">
      <w:pPr>
        <w:jc w:val="both"/>
        <w:rPr>
          <w:i/>
          <w:sz w:val="20"/>
          <w:lang w:val="hr-HR"/>
        </w:rPr>
      </w:pPr>
      <w:r w:rsidRPr="004259D0">
        <w:rPr>
          <w:i/>
          <w:sz w:val="20"/>
          <w:lang w:val="hr-HR"/>
        </w:rPr>
        <w:t xml:space="preserve">Izvor: </w:t>
      </w:r>
      <w:r w:rsidR="002462B2" w:rsidRPr="004259D0">
        <w:rPr>
          <w:i/>
          <w:sz w:val="20"/>
          <w:lang w:val="hr-HR"/>
        </w:rPr>
        <w:t>Ministarstvo financija</w:t>
      </w:r>
    </w:p>
    <w:p w14:paraId="52A5A71B" w14:textId="77777777" w:rsidR="00720C07" w:rsidRPr="004259D0" w:rsidRDefault="00720C07" w:rsidP="00282048">
      <w:pPr>
        <w:jc w:val="both"/>
        <w:rPr>
          <w:lang w:val="hr-HR"/>
        </w:rPr>
      </w:pPr>
      <w:r w:rsidRPr="004259D0">
        <w:rPr>
          <w:lang w:val="hr-HR"/>
        </w:rPr>
        <w:br w:type="page"/>
      </w:r>
    </w:p>
    <w:p w14:paraId="38089E10" w14:textId="77777777" w:rsidR="000A2F80" w:rsidRPr="004259D0" w:rsidRDefault="000A2F80" w:rsidP="008160DF">
      <w:pPr>
        <w:pStyle w:val="Heading1"/>
        <w:numPr>
          <w:ilvl w:val="0"/>
          <w:numId w:val="1"/>
        </w:numPr>
        <w:rPr>
          <w:sz w:val="32"/>
          <w:lang w:val="hr-HR"/>
        </w:rPr>
      </w:pPr>
      <w:bookmarkStart w:id="40" w:name="_Toc6418626"/>
      <w:r w:rsidRPr="004259D0">
        <w:rPr>
          <w:sz w:val="32"/>
          <w:lang w:val="hr-HR"/>
        </w:rPr>
        <w:t>ODRŽIVOST JAVNIH FINANCIJA</w:t>
      </w:r>
      <w:bookmarkEnd w:id="40"/>
    </w:p>
    <w:p w14:paraId="3DA48AD4" w14:textId="77777777" w:rsidR="000A2F80" w:rsidRPr="004259D0" w:rsidRDefault="000A2F80" w:rsidP="00421579">
      <w:pPr>
        <w:jc w:val="both"/>
        <w:rPr>
          <w:rFonts w:ascii="Calibri" w:hAnsi="Calibri" w:cs="Arial"/>
          <w:lang w:val="hr-HR"/>
        </w:rPr>
      </w:pPr>
    </w:p>
    <w:p w14:paraId="6C6EB7A3" w14:textId="407F3202" w:rsidR="00421579" w:rsidRPr="004259D0" w:rsidRDefault="00421579" w:rsidP="00421579">
      <w:pPr>
        <w:jc w:val="both"/>
        <w:rPr>
          <w:rFonts w:ascii="Calibri" w:hAnsi="Calibri" w:cs="Arial"/>
          <w:lang w:val="hr-HR"/>
        </w:rPr>
      </w:pPr>
      <w:r w:rsidRPr="004259D0">
        <w:rPr>
          <w:rFonts w:ascii="Calibri" w:hAnsi="Calibri" w:cs="Arial"/>
          <w:lang w:val="hr-HR"/>
        </w:rPr>
        <w:t xml:space="preserve">Kao i sve zemlje </w:t>
      </w:r>
      <w:r w:rsidR="000C0838" w:rsidRPr="004259D0">
        <w:rPr>
          <w:rFonts w:ascii="Calibri" w:hAnsi="Calibri" w:cs="Arial"/>
          <w:lang w:val="hr-HR"/>
        </w:rPr>
        <w:t>EU</w:t>
      </w:r>
      <w:r w:rsidRPr="004259D0">
        <w:rPr>
          <w:rFonts w:ascii="Calibri" w:hAnsi="Calibri" w:cs="Arial"/>
          <w:lang w:val="hr-HR"/>
        </w:rPr>
        <w:t xml:space="preserve"> i </w:t>
      </w:r>
      <w:r w:rsidR="000C0838" w:rsidRPr="004259D0">
        <w:rPr>
          <w:rFonts w:ascii="Calibri" w:hAnsi="Calibri" w:cs="Arial"/>
          <w:lang w:val="hr-HR"/>
        </w:rPr>
        <w:t>RH</w:t>
      </w:r>
      <w:r w:rsidRPr="004259D0">
        <w:rPr>
          <w:rFonts w:ascii="Calibri" w:hAnsi="Calibri" w:cs="Arial"/>
          <w:lang w:val="hr-HR"/>
        </w:rPr>
        <w:t xml:space="preserve"> </w:t>
      </w:r>
      <w:r w:rsidR="000C0838" w:rsidRPr="004259D0">
        <w:rPr>
          <w:rFonts w:ascii="Calibri" w:hAnsi="Calibri" w:cs="Arial"/>
          <w:lang w:val="hr-HR"/>
        </w:rPr>
        <w:t xml:space="preserve">se </w:t>
      </w:r>
      <w:r w:rsidRPr="004259D0">
        <w:rPr>
          <w:rFonts w:ascii="Calibri" w:hAnsi="Calibri" w:cs="Arial"/>
          <w:lang w:val="hr-HR"/>
        </w:rPr>
        <w:t>nalazi pod značajnim utjecajem ubrzanih demografskih promjena koje se prvenstveno odnose na povećanje broja starijeg stanovništva</w:t>
      </w:r>
      <w:r w:rsidR="000C0838" w:rsidRPr="004259D0">
        <w:rPr>
          <w:rFonts w:ascii="Calibri" w:hAnsi="Calibri" w:cs="Arial"/>
          <w:lang w:val="hr-HR"/>
        </w:rPr>
        <w:t>,</w:t>
      </w:r>
      <w:r w:rsidRPr="004259D0">
        <w:rPr>
          <w:rFonts w:ascii="Calibri" w:hAnsi="Calibri" w:cs="Arial"/>
          <w:lang w:val="hr-HR"/>
        </w:rPr>
        <w:t xml:space="preserve"> uz istovremeno produljenje očekivanog trajanja života. </w:t>
      </w:r>
      <w:r w:rsidR="00A35165" w:rsidRPr="004259D0">
        <w:rPr>
          <w:rFonts w:ascii="Calibri" w:hAnsi="Calibri" w:cs="Arial"/>
          <w:lang w:val="hr-HR"/>
        </w:rPr>
        <w:t xml:space="preserve">Prema Izvješću o starenju 2018 </w:t>
      </w:r>
      <w:r w:rsidR="008E7B61" w:rsidRPr="004259D0">
        <w:rPr>
          <w:rFonts w:ascii="Calibri" w:hAnsi="Calibri" w:cs="Arial"/>
          <w:lang w:val="hr-HR"/>
        </w:rPr>
        <w:t xml:space="preserve">od </w:t>
      </w:r>
      <w:r w:rsidR="00A35165" w:rsidRPr="004259D0">
        <w:rPr>
          <w:rFonts w:ascii="Calibri" w:hAnsi="Calibri" w:cs="Arial"/>
          <w:lang w:val="hr-HR"/>
        </w:rPr>
        <w:t>EK (</w:t>
      </w:r>
      <w:r w:rsidR="00A35165" w:rsidRPr="004259D0">
        <w:rPr>
          <w:rFonts w:ascii="Calibri" w:hAnsi="Calibri" w:cs="Arial"/>
          <w:i/>
          <w:lang w:val="hr-HR"/>
        </w:rPr>
        <w:t>Ageing Report 2018</w:t>
      </w:r>
      <w:r w:rsidR="00A35165" w:rsidRPr="004259D0">
        <w:rPr>
          <w:rFonts w:ascii="Calibri" w:hAnsi="Calibri" w:cs="Arial"/>
          <w:lang w:val="hr-HR"/>
        </w:rPr>
        <w:t>) u</w:t>
      </w:r>
      <w:r w:rsidRPr="004259D0">
        <w:rPr>
          <w:rFonts w:ascii="Calibri" w:hAnsi="Calibri" w:cs="Arial"/>
          <w:lang w:val="hr-HR"/>
        </w:rPr>
        <w:t xml:space="preserve"> razdoblju do 2070. godine doći će do velikih promjena u kre</w:t>
      </w:r>
      <w:r w:rsidR="004D031B" w:rsidRPr="004259D0">
        <w:rPr>
          <w:rFonts w:ascii="Calibri" w:hAnsi="Calibri" w:cs="Arial"/>
          <w:lang w:val="hr-HR"/>
        </w:rPr>
        <w:t xml:space="preserve">tanju broja stanovnika EU koje </w:t>
      </w:r>
      <w:r w:rsidRPr="004259D0">
        <w:rPr>
          <w:rFonts w:ascii="Calibri" w:hAnsi="Calibri" w:cs="Arial"/>
          <w:lang w:val="hr-HR"/>
        </w:rPr>
        <w:t xml:space="preserve">ukazuju na negativne demografske trendove </w:t>
      </w:r>
      <w:r w:rsidR="004D031B" w:rsidRPr="004259D0">
        <w:rPr>
          <w:rFonts w:ascii="Calibri" w:hAnsi="Calibri" w:cs="Arial"/>
          <w:lang w:val="hr-HR"/>
        </w:rPr>
        <w:t>(</w:t>
      </w:r>
      <w:r w:rsidR="00BB37AD" w:rsidRPr="004259D0">
        <w:rPr>
          <w:rFonts w:ascii="Calibri" w:hAnsi="Calibri" w:cs="Arial"/>
          <w:lang w:val="hr-HR"/>
        </w:rPr>
        <w:t>G</w:t>
      </w:r>
      <w:r w:rsidR="004D031B" w:rsidRPr="004259D0">
        <w:rPr>
          <w:rFonts w:ascii="Calibri" w:hAnsi="Calibri" w:cs="Arial"/>
          <w:lang w:val="hr-HR"/>
        </w:rPr>
        <w:t>rafikon 5.</w:t>
      </w:r>
      <w:r w:rsidRPr="004259D0">
        <w:rPr>
          <w:rFonts w:ascii="Calibri" w:hAnsi="Calibri" w:cs="Arial"/>
          <w:lang w:val="hr-HR"/>
        </w:rPr>
        <w:t>1</w:t>
      </w:r>
      <w:r w:rsidR="004D031B" w:rsidRPr="004259D0">
        <w:rPr>
          <w:rFonts w:ascii="Calibri" w:hAnsi="Calibri" w:cs="Arial"/>
          <w:lang w:val="hr-HR"/>
        </w:rPr>
        <w:t>.</w:t>
      </w:r>
      <w:r w:rsidRPr="004259D0">
        <w:rPr>
          <w:rFonts w:ascii="Calibri" w:hAnsi="Calibri" w:cs="Arial"/>
          <w:lang w:val="hr-HR"/>
        </w:rPr>
        <w:t>) jer će se značajno smanjiti radno-aktivna skupina stanovnika (kohorta 15</w:t>
      </w:r>
      <w:r w:rsidR="004D031B" w:rsidRPr="004259D0">
        <w:rPr>
          <w:rFonts w:ascii="Calibri" w:hAnsi="Calibri" w:cs="Arial"/>
          <w:lang w:val="hr-HR"/>
        </w:rPr>
        <w:t xml:space="preserve"> </w:t>
      </w:r>
      <w:r w:rsidRPr="004259D0">
        <w:rPr>
          <w:rFonts w:ascii="Calibri" w:hAnsi="Calibri" w:cs="Arial"/>
          <w:lang w:val="hr-HR"/>
        </w:rPr>
        <w:t>-</w:t>
      </w:r>
      <w:r w:rsidR="004D031B" w:rsidRPr="004259D0">
        <w:rPr>
          <w:rFonts w:ascii="Calibri" w:hAnsi="Calibri" w:cs="Arial"/>
          <w:lang w:val="hr-HR"/>
        </w:rPr>
        <w:t xml:space="preserve"> </w:t>
      </w:r>
      <w:r w:rsidRPr="004259D0">
        <w:rPr>
          <w:rFonts w:ascii="Calibri" w:hAnsi="Calibri" w:cs="Arial"/>
          <w:lang w:val="hr-HR"/>
        </w:rPr>
        <w:t>64), a samim time povećati skupina stanovništva starijeg od 65 godina (kohorta 65+).</w:t>
      </w:r>
    </w:p>
    <w:p w14:paraId="6E87D323" w14:textId="77777777" w:rsidR="00421579" w:rsidRPr="004259D0" w:rsidRDefault="00421579" w:rsidP="00421579">
      <w:pPr>
        <w:spacing w:after="0" w:line="240" w:lineRule="auto"/>
        <w:jc w:val="both"/>
        <w:rPr>
          <w:i/>
          <w:lang w:val="hr-HR"/>
        </w:rPr>
      </w:pPr>
      <w:bookmarkStart w:id="41" w:name="_Toc6418648"/>
      <w:r w:rsidRPr="004259D0">
        <w:rPr>
          <w:i/>
          <w:lang w:val="hr-HR"/>
        </w:rPr>
        <w:t xml:space="preserve">Grafikon </w:t>
      </w:r>
      <w:r w:rsidR="004D031B" w:rsidRPr="004259D0">
        <w:rPr>
          <w:i/>
          <w:lang w:val="hr-HR"/>
        </w:rPr>
        <w:fldChar w:fldCharType="begin"/>
      </w:r>
      <w:r w:rsidR="004D031B" w:rsidRPr="004259D0">
        <w:rPr>
          <w:i/>
          <w:lang w:val="hr-HR"/>
        </w:rPr>
        <w:instrText xml:space="preserve"> STYLEREF 1 \s </w:instrText>
      </w:r>
      <w:r w:rsidR="004D031B" w:rsidRPr="004259D0">
        <w:rPr>
          <w:i/>
          <w:lang w:val="hr-HR"/>
        </w:rPr>
        <w:fldChar w:fldCharType="separate"/>
      </w:r>
      <w:r w:rsidR="00572AFD">
        <w:rPr>
          <w:i/>
          <w:noProof/>
          <w:lang w:val="hr-HR"/>
        </w:rPr>
        <w:t>5</w:t>
      </w:r>
      <w:r w:rsidR="004D031B" w:rsidRPr="004259D0">
        <w:rPr>
          <w:i/>
          <w:lang w:val="hr-HR"/>
        </w:rPr>
        <w:fldChar w:fldCharType="end"/>
      </w:r>
      <w:r w:rsidR="004D031B" w:rsidRPr="004259D0">
        <w:rPr>
          <w:i/>
          <w:lang w:val="hr-HR"/>
        </w:rPr>
        <w:t>.</w:t>
      </w:r>
      <w:r w:rsidR="004D031B" w:rsidRPr="004259D0">
        <w:rPr>
          <w:i/>
          <w:lang w:val="hr-HR"/>
        </w:rPr>
        <w:fldChar w:fldCharType="begin"/>
      </w:r>
      <w:r w:rsidR="004D031B" w:rsidRPr="004259D0">
        <w:rPr>
          <w:i/>
          <w:lang w:val="hr-HR"/>
        </w:rPr>
        <w:instrText xml:space="preserve"> SEQ Grafikon \* ARABIC \s 1 </w:instrText>
      </w:r>
      <w:r w:rsidR="004D031B" w:rsidRPr="004259D0">
        <w:rPr>
          <w:i/>
          <w:lang w:val="hr-HR"/>
        </w:rPr>
        <w:fldChar w:fldCharType="separate"/>
      </w:r>
      <w:r w:rsidR="00572AFD">
        <w:rPr>
          <w:i/>
          <w:noProof/>
          <w:lang w:val="hr-HR"/>
        </w:rPr>
        <w:t>1</w:t>
      </w:r>
      <w:r w:rsidR="004D031B" w:rsidRPr="004259D0">
        <w:rPr>
          <w:i/>
          <w:lang w:val="hr-HR"/>
        </w:rPr>
        <w:fldChar w:fldCharType="end"/>
      </w:r>
      <w:r w:rsidRPr="004259D0">
        <w:rPr>
          <w:i/>
          <w:lang w:val="hr-HR"/>
        </w:rPr>
        <w:t>. Dobno – spolna piramida stanovništva EU</w:t>
      </w:r>
      <w:bookmarkEnd w:id="41"/>
    </w:p>
    <w:p w14:paraId="6BBBC758" w14:textId="77777777" w:rsidR="00421579" w:rsidRPr="004259D0" w:rsidRDefault="00421579" w:rsidP="00421579">
      <w:pPr>
        <w:spacing w:after="0"/>
        <w:rPr>
          <w:lang w:val="hr-HR"/>
        </w:rPr>
      </w:pPr>
      <w:r w:rsidRPr="004259D0">
        <w:rPr>
          <w:noProof/>
          <w:lang w:val="hr-HR" w:eastAsia="hr-HR"/>
        </w:rPr>
        <w:drawing>
          <wp:inline distT="0" distB="0" distL="0" distR="0" wp14:anchorId="7C5BDA7B" wp14:editId="6AD99EEF">
            <wp:extent cx="5388229" cy="2774890"/>
            <wp:effectExtent l="19050" t="19050" r="21971" b="25460"/>
            <wp:docPr id="3" name="Picture 23" descr="&lt;nbr&gt;&lt;GETTEXTFROMWORD&gt;&lt;/nbr&gt;&#10;&lt;title&gt;&lt;GETTEXTFROMWORD&gt;&lt;/title&gt;&#10;&lt;id&gt;d0da66f5-30ed-47a6-bcd2-ea73d3f87833&lt;/id&gt;&#10;&lt;srcType&gt;EXCEL&lt;/srcType&gt;&#10;&lt;srcPath&gt;U:\Budgetary projections 2018\Reports\2018 AR\Tables_and_graphs\Part II Chapter 6\&lt;/srcPath&gt;&#10;&lt;srcName&gt;Graphs_tables.xlsx&lt;/srcName&gt;&#10;&lt;type&gt;clusterofgraphs&lt;/type&gt;&#10; &lt;srcSheet&gt;Pyramid_final&lt;/srcSheet&gt;&#10; &lt;individualNumbers&gt;no&lt;/individualNumbers&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18-04-12T17:54:15&lt;/scrFileTime&gt;&#10;&lt;imageInformation&gt;&#10; &lt;dontScaleUp&gt;no&lt;/dontScaleUp&gt;&#10;&lt;/imageInformation&gt;&#10;&lt;url&gt;&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88229" cy="2774890"/>
                    </a:xfrm>
                    <a:prstGeom prst="rect">
                      <a:avLst/>
                    </a:prstGeom>
                    <a:noFill/>
                    <a:ln w="3175">
                      <a:solidFill>
                        <a:schemeClr val="tx1"/>
                      </a:solidFill>
                    </a:ln>
                  </pic:spPr>
                </pic:pic>
              </a:graphicData>
            </a:graphic>
          </wp:inline>
        </w:drawing>
      </w:r>
    </w:p>
    <w:p w14:paraId="1DDB6EE3" w14:textId="77777777" w:rsidR="00421579" w:rsidRPr="004259D0" w:rsidRDefault="00421579" w:rsidP="00421579">
      <w:pPr>
        <w:jc w:val="both"/>
        <w:rPr>
          <w:i/>
          <w:sz w:val="20"/>
          <w:lang w:val="hr-HR"/>
        </w:rPr>
      </w:pPr>
      <w:r w:rsidRPr="004259D0">
        <w:rPr>
          <w:i/>
          <w:sz w:val="20"/>
          <w:lang w:val="hr-HR"/>
        </w:rPr>
        <w:t>Izvor: Europska komisija</w:t>
      </w:r>
    </w:p>
    <w:p w14:paraId="0639ADF2" w14:textId="13613606" w:rsidR="00421579" w:rsidRPr="004259D0" w:rsidRDefault="00421579" w:rsidP="00421579">
      <w:pPr>
        <w:jc w:val="both"/>
        <w:rPr>
          <w:rFonts w:ascii="Calibri" w:hAnsi="Calibri" w:cs="Arial"/>
          <w:lang w:val="hr-HR"/>
        </w:rPr>
      </w:pPr>
      <w:r w:rsidRPr="004259D0">
        <w:rPr>
          <w:rFonts w:ascii="Calibri" w:hAnsi="Calibri" w:cs="Arial"/>
          <w:lang w:val="hr-HR"/>
        </w:rPr>
        <w:t xml:space="preserve">Za navedeno razdoblje predviđa se na razini EU povećanje stope ovisnosti starijih (udio osoba starijih od 65 godina u odnosu na osobe u dobi 15 </w:t>
      </w:r>
      <w:r w:rsidR="00DC20BD" w:rsidRPr="004259D0">
        <w:rPr>
          <w:rFonts w:ascii="Calibri" w:hAnsi="Calibri" w:cs="Arial"/>
          <w:lang w:val="hr-HR"/>
        </w:rPr>
        <w:t>-</w:t>
      </w:r>
      <w:r w:rsidRPr="004259D0">
        <w:rPr>
          <w:rFonts w:ascii="Calibri" w:hAnsi="Calibri" w:cs="Arial"/>
          <w:lang w:val="hr-HR"/>
        </w:rPr>
        <w:t xml:space="preserve"> 64 godine) za 21,6 post</w:t>
      </w:r>
      <w:r w:rsidR="004D031B" w:rsidRPr="004259D0">
        <w:rPr>
          <w:rFonts w:ascii="Calibri" w:hAnsi="Calibri" w:cs="Arial"/>
          <w:lang w:val="hr-HR"/>
        </w:rPr>
        <w:t xml:space="preserve">otnih bodova na razini EU, tj. </w:t>
      </w:r>
      <w:r w:rsidRPr="004259D0">
        <w:rPr>
          <w:rFonts w:ascii="Calibri" w:hAnsi="Calibri" w:cs="Arial"/>
          <w:lang w:val="hr-HR"/>
        </w:rPr>
        <w:t xml:space="preserve">s 29,6% u 2016. na 51,2% </w:t>
      </w:r>
      <w:r w:rsidR="00A35165" w:rsidRPr="004259D0">
        <w:rPr>
          <w:rFonts w:ascii="Calibri" w:hAnsi="Calibri" w:cs="Arial"/>
          <w:lang w:val="hr-HR"/>
        </w:rPr>
        <w:t xml:space="preserve">u </w:t>
      </w:r>
      <w:r w:rsidRPr="004259D0">
        <w:rPr>
          <w:rFonts w:ascii="Calibri" w:hAnsi="Calibri" w:cs="Arial"/>
          <w:lang w:val="hr-HR"/>
        </w:rPr>
        <w:t xml:space="preserve">2070. godini, odnosno s 3,3 radno-aktivna stanovnika na jednog starijeg stanovnika u 2016. na samo </w:t>
      </w:r>
      <w:r w:rsidR="00A35165" w:rsidRPr="004259D0">
        <w:rPr>
          <w:rFonts w:ascii="Calibri" w:hAnsi="Calibri" w:cs="Arial"/>
          <w:lang w:val="hr-HR"/>
        </w:rPr>
        <w:t>2 radno-aktivna stanovnika</w:t>
      </w:r>
      <w:r w:rsidR="00F72A66" w:rsidRPr="004259D0">
        <w:rPr>
          <w:rFonts w:ascii="Calibri" w:hAnsi="Calibri" w:cs="Arial"/>
          <w:lang w:val="hr-HR"/>
        </w:rPr>
        <w:t xml:space="preserve"> na jednog starijeg</w:t>
      </w:r>
      <w:r w:rsidRPr="004259D0">
        <w:rPr>
          <w:rFonts w:ascii="Calibri" w:hAnsi="Calibri" w:cs="Arial"/>
          <w:lang w:val="hr-HR"/>
        </w:rPr>
        <w:t xml:space="preserve"> u 2070. godini. Također</w:t>
      </w:r>
      <w:r w:rsidR="00F72A66" w:rsidRPr="004259D0">
        <w:rPr>
          <w:rFonts w:ascii="Calibri" w:hAnsi="Calibri" w:cs="Arial"/>
          <w:lang w:val="hr-HR"/>
        </w:rPr>
        <w:t>,</w:t>
      </w:r>
      <w:r w:rsidRPr="004259D0">
        <w:rPr>
          <w:rFonts w:ascii="Calibri" w:hAnsi="Calibri" w:cs="Arial"/>
          <w:lang w:val="hr-HR"/>
        </w:rPr>
        <w:t xml:space="preserve"> uočen </w:t>
      </w:r>
      <w:r w:rsidR="00F72A66" w:rsidRPr="004259D0">
        <w:rPr>
          <w:rFonts w:ascii="Calibri" w:hAnsi="Calibri" w:cs="Arial"/>
          <w:lang w:val="hr-HR"/>
        </w:rPr>
        <w:t xml:space="preserve">je </w:t>
      </w:r>
      <w:r w:rsidRPr="004259D0">
        <w:rPr>
          <w:rFonts w:ascii="Calibri" w:hAnsi="Calibri" w:cs="Arial"/>
          <w:lang w:val="hr-HR"/>
        </w:rPr>
        <w:t xml:space="preserve">rast stope ovisnosti </w:t>
      </w:r>
      <w:r w:rsidR="00A35165" w:rsidRPr="004259D0">
        <w:rPr>
          <w:rFonts w:ascii="Calibri" w:hAnsi="Calibri" w:cs="Arial"/>
          <w:lang w:val="hr-HR"/>
        </w:rPr>
        <w:t>vrlo starog stanovništva (</w:t>
      </w:r>
      <w:r w:rsidRPr="004259D0">
        <w:rPr>
          <w:rFonts w:ascii="Calibri" w:hAnsi="Calibri" w:cs="Arial"/>
          <w:lang w:val="hr-HR"/>
        </w:rPr>
        <w:t xml:space="preserve">starijih od 80 godina u odnosu na one u dobi 15 </w:t>
      </w:r>
      <w:r w:rsidR="007B1173" w:rsidRPr="004259D0">
        <w:rPr>
          <w:rFonts w:ascii="Calibri" w:hAnsi="Calibri" w:cs="Arial"/>
          <w:lang w:val="hr-HR"/>
        </w:rPr>
        <w:t>-</w:t>
      </w:r>
      <w:r w:rsidRPr="004259D0">
        <w:rPr>
          <w:rFonts w:ascii="Calibri" w:hAnsi="Calibri" w:cs="Arial"/>
          <w:lang w:val="hr-HR"/>
        </w:rPr>
        <w:t xml:space="preserve"> 64 godine) koja se p</w:t>
      </w:r>
      <w:r w:rsidR="00A35165" w:rsidRPr="004259D0">
        <w:rPr>
          <w:rFonts w:ascii="Calibri" w:hAnsi="Calibri" w:cs="Arial"/>
          <w:lang w:val="hr-HR"/>
        </w:rPr>
        <w:t xml:space="preserve">ovećava za 14 postotnih bodova odnosno s </w:t>
      </w:r>
      <w:r w:rsidRPr="004259D0">
        <w:rPr>
          <w:rFonts w:ascii="Calibri" w:hAnsi="Calibri" w:cs="Arial"/>
          <w:lang w:val="hr-HR"/>
        </w:rPr>
        <w:t>8,3%</w:t>
      </w:r>
      <w:r w:rsidR="00A35165" w:rsidRPr="004259D0">
        <w:rPr>
          <w:rFonts w:ascii="Calibri" w:hAnsi="Calibri" w:cs="Arial"/>
          <w:lang w:val="hr-HR"/>
        </w:rPr>
        <w:t xml:space="preserve"> na</w:t>
      </w:r>
      <w:r w:rsidRPr="004259D0">
        <w:rPr>
          <w:rFonts w:ascii="Calibri" w:hAnsi="Calibri" w:cs="Arial"/>
          <w:lang w:val="hr-HR"/>
        </w:rPr>
        <w:t xml:space="preserve"> 22,3% tijekom promatranog razdoblja.</w:t>
      </w:r>
    </w:p>
    <w:p w14:paraId="6DD2C838" w14:textId="60E4FE78" w:rsidR="00421579" w:rsidRPr="004259D0" w:rsidRDefault="00421579" w:rsidP="00421579">
      <w:pPr>
        <w:jc w:val="both"/>
        <w:rPr>
          <w:rFonts w:ascii="Calibri" w:hAnsi="Calibri" w:cs="Arial"/>
          <w:lang w:val="hr-HR"/>
        </w:rPr>
      </w:pPr>
      <w:r w:rsidRPr="004259D0">
        <w:rPr>
          <w:rFonts w:ascii="Calibri" w:hAnsi="Calibri" w:cs="Arial"/>
          <w:lang w:val="hr-HR"/>
        </w:rPr>
        <w:t xml:space="preserve">U razdoblju 2016. </w:t>
      </w:r>
      <w:r w:rsidR="004D031B" w:rsidRPr="004259D0">
        <w:rPr>
          <w:rFonts w:ascii="Calibri" w:hAnsi="Calibri" w:cs="Arial"/>
          <w:lang w:val="hr-HR"/>
        </w:rPr>
        <w:t>-</w:t>
      </w:r>
      <w:r w:rsidRPr="004259D0">
        <w:rPr>
          <w:rFonts w:ascii="Calibri" w:hAnsi="Calibri" w:cs="Arial"/>
          <w:lang w:val="hr-HR"/>
        </w:rPr>
        <w:t xml:space="preserve"> 2070. predviđa se smanjenje stanovništva RH s 4,2 na 3,4 milijuna, uz rast udjela stanovnika 65+, odnosno 80+ u ukupnom udjelu stanovnika, što </w:t>
      </w:r>
      <w:r w:rsidR="009D2749" w:rsidRPr="004259D0">
        <w:rPr>
          <w:rFonts w:ascii="Calibri" w:hAnsi="Calibri" w:cs="Arial"/>
          <w:lang w:val="hr-HR"/>
        </w:rPr>
        <w:t>rezultira</w:t>
      </w:r>
      <w:r w:rsidR="008477EA" w:rsidRPr="004259D0">
        <w:rPr>
          <w:rFonts w:ascii="Calibri" w:hAnsi="Calibri" w:cs="Arial"/>
          <w:lang w:val="hr-HR"/>
        </w:rPr>
        <w:t xml:space="preserve"> smanjenje</w:t>
      </w:r>
      <w:r w:rsidR="009D2749" w:rsidRPr="004259D0">
        <w:rPr>
          <w:rFonts w:ascii="Calibri" w:hAnsi="Calibri" w:cs="Arial"/>
          <w:lang w:val="hr-HR"/>
        </w:rPr>
        <w:t>m</w:t>
      </w:r>
      <w:r w:rsidR="008477EA" w:rsidRPr="004259D0">
        <w:rPr>
          <w:rFonts w:ascii="Calibri" w:hAnsi="Calibri" w:cs="Arial"/>
          <w:lang w:val="hr-HR"/>
        </w:rPr>
        <w:t xml:space="preserve"> udjela</w:t>
      </w:r>
      <w:r w:rsidRPr="004259D0">
        <w:rPr>
          <w:rFonts w:ascii="Calibri" w:hAnsi="Calibri" w:cs="Arial"/>
          <w:lang w:val="hr-HR"/>
        </w:rPr>
        <w:t xml:space="preserve"> dobne skupine 15 </w:t>
      </w:r>
      <w:r w:rsidR="009D2749" w:rsidRPr="004259D0">
        <w:rPr>
          <w:rFonts w:ascii="Calibri" w:hAnsi="Calibri" w:cs="Arial"/>
          <w:lang w:val="hr-HR"/>
        </w:rPr>
        <w:t>–</w:t>
      </w:r>
      <w:r w:rsidRPr="004259D0">
        <w:rPr>
          <w:rFonts w:ascii="Calibri" w:hAnsi="Calibri" w:cs="Arial"/>
          <w:lang w:val="hr-HR"/>
        </w:rPr>
        <w:t xml:space="preserve"> 64</w:t>
      </w:r>
      <w:r w:rsidR="009D2749" w:rsidRPr="004259D0">
        <w:rPr>
          <w:rFonts w:ascii="Calibri" w:hAnsi="Calibri" w:cs="Arial"/>
          <w:lang w:val="hr-HR"/>
        </w:rPr>
        <w:t>,</w:t>
      </w:r>
      <w:r w:rsidRPr="004259D0">
        <w:rPr>
          <w:rFonts w:ascii="Calibri" w:hAnsi="Calibri" w:cs="Arial"/>
          <w:lang w:val="hr-HR"/>
        </w:rPr>
        <w:t xml:space="preserve"> dok će udio djece i najstarijih biti gotovo izjednačen.</w:t>
      </w:r>
    </w:p>
    <w:p w14:paraId="4A580C19" w14:textId="77777777" w:rsidR="00421579" w:rsidRPr="004259D0" w:rsidRDefault="00421579" w:rsidP="00421579">
      <w:pPr>
        <w:spacing w:after="0" w:line="240" w:lineRule="auto"/>
        <w:jc w:val="both"/>
        <w:rPr>
          <w:i/>
          <w:lang w:val="hr-HR"/>
        </w:rPr>
      </w:pPr>
    </w:p>
    <w:p w14:paraId="2ED4E962" w14:textId="77777777" w:rsidR="00421579" w:rsidRPr="004259D0" w:rsidRDefault="00421579" w:rsidP="00421579">
      <w:pPr>
        <w:spacing w:after="0" w:line="240" w:lineRule="auto"/>
        <w:jc w:val="both"/>
        <w:rPr>
          <w:i/>
          <w:lang w:val="hr-HR"/>
        </w:rPr>
      </w:pPr>
    </w:p>
    <w:p w14:paraId="390A2753" w14:textId="77777777" w:rsidR="00421579" w:rsidRPr="004259D0" w:rsidRDefault="00421579" w:rsidP="00421579">
      <w:pPr>
        <w:spacing w:after="0" w:line="240" w:lineRule="auto"/>
        <w:jc w:val="both"/>
        <w:rPr>
          <w:i/>
          <w:lang w:val="hr-HR"/>
        </w:rPr>
      </w:pPr>
    </w:p>
    <w:p w14:paraId="55936302" w14:textId="77777777" w:rsidR="00421579" w:rsidRPr="004259D0" w:rsidRDefault="00421579" w:rsidP="00421579">
      <w:pPr>
        <w:spacing w:after="0" w:line="240" w:lineRule="auto"/>
        <w:jc w:val="both"/>
        <w:rPr>
          <w:i/>
          <w:lang w:val="hr-HR"/>
        </w:rPr>
      </w:pPr>
    </w:p>
    <w:p w14:paraId="124A24FD" w14:textId="77777777" w:rsidR="00421579" w:rsidRPr="004259D0" w:rsidRDefault="00421579" w:rsidP="00421579">
      <w:pPr>
        <w:spacing w:after="0" w:line="240" w:lineRule="auto"/>
        <w:jc w:val="both"/>
        <w:rPr>
          <w:i/>
          <w:lang w:val="hr-HR"/>
        </w:rPr>
      </w:pPr>
    </w:p>
    <w:p w14:paraId="4179A88B" w14:textId="77777777" w:rsidR="00421579" w:rsidRPr="004259D0" w:rsidRDefault="00421579" w:rsidP="00421579">
      <w:pPr>
        <w:spacing w:after="0" w:line="240" w:lineRule="auto"/>
        <w:jc w:val="both"/>
        <w:rPr>
          <w:i/>
          <w:lang w:val="hr-HR"/>
        </w:rPr>
      </w:pPr>
    </w:p>
    <w:p w14:paraId="7343C3E5" w14:textId="77777777" w:rsidR="00421579" w:rsidRPr="004259D0" w:rsidRDefault="00421579" w:rsidP="00421579">
      <w:pPr>
        <w:spacing w:after="0" w:line="240" w:lineRule="auto"/>
        <w:jc w:val="both"/>
        <w:rPr>
          <w:i/>
          <w:lang w:val="hr-HR"/>
        </w:rPr>
      </w:pPr>
    </w:p>
    <w:p w14:paraId="038F12B0" w14:textId="77777777" w:rsidR="00421579" w:rsidRPr="004259D0" w:rsidRDefault="00421579" w:rsidP="00421579">
      <w:pPr>
        <w:spacing w:after="0" w:line="240" w:lineRule="auto"/>
        <w:jc w:val="both"/>
        <w:rPr>
          <w:i/>
          <w:lang w:val="hr-HR"/>
        </w:rPr>
      </w:pPr>
      <w:bookmarkStart w:id="42" w:name="_Toc6418649"/>
      <w:r w:rsidRPr="004259D0">
        <w:rPr>
          <w:i/>
          <w:lang w:val="hr-HR"/>
        </w:rPr>
        <w:t xml:space="preserve">Grafikon </w:t>
      </w:r>
      <w:r w:rsidR="004D031B" w:rsidRPr="004259D0">
        <w:rPr>
          <w:i/>
          <w:lang w:val="hr-HR"/>
        </w:rPr>
        <w:fldChar w:fldCharType="begin"/>
      </w:r>
      <w:r w:rsidR="004D031B" w:rsidRPr="004259D0">
        <w:rPr>
          <w:i/>
          <w:lang w:val="hr-HR"/>
        </w:rPr>
        <w:instrText xml:space="preserve"> STYLEREF 1 \s </w:instrText>
      </w:r>
      <w:r w:rsidR="004D031B" w:rsidRPr="004259D0">
        <w:rPr>
          <w:i/>
          <w:lang w:val="hr-HR"/>
        </w:rPr>
        <w:fldChar w:fldCharType="separate"/>
      </w:r>
      <w:r w:rsidR="00572AFD">
        <w:rPr>
          <w:i/>
          <w:noProof/>
          <w:lang w:val="hr-HR"/>
        </w:rPr>
        <w:t>5</w:t>
      </w:r>
      <w:r w:rsidR="004D031B" w:rsidRPr="004259D0">
        <w:rPr>
          <w:i/>
          <w:lang w:val="hr-HR"/>
        </w:rPr>
        <w:fldChar w:fldCharType="end"/>
      </w:r>
      <w:r w:rsidR="004D031B" w:rsidRPr="004259D0">
        <w:rPr>
          <w:i/>
          <w:lang w:val="hr-HR"/>
        </w:rPr>
        <w:t>.</w:t>
      </w:r>
      <w:r w:rsidR="004D031B" w:rsidRPr="004259D0">
        <w:rPr>
          <w:i/>
          <w:lang w:val="hr-HR"/>
        </w:rPr>
        <w:fldChar w:fldCharType="begin"/>
      </w:r>
      <w:r w:rsidR="004D031B" w:rsidRPr="004259D0">
        <w:rPr>
          <w:i/>
          <w:lang w:val="hr-HR"/>
        </w:rPr>
        <w:instrText xml:space="preserve"> SEQ Grafikon \* ARABIC \s 1 </w:instrText>
      </w:r>
      <w:r w:rsidR="004D031B" w:rsidRPr="004259D0">
        <w:rPr>
          <w:i/>
          <w:lang w:val="hr-HR"/>
        </w:rPr>
        <w:fldChar w:fldCharType="separate"/>
      </w:r>
      <w:r w:rsidR="00572AFD">
        <w:rPr>
          <w:i/>
          <w:noProof/>
          <w:lang w:val="hr-HR"/>
        </w:rPr>
        <w:t>2</w:t>
      </w:r>
      <w:r w:rsidR="004D031B" w:rsidRPr="004259D0">
        <w:rPr>
          <w:i/>
          <w:lang w:val="hr-HR"/>
        </w:rPr>
        <w:fldChar w:fldCharType="end"/>
      </w:r>
      <w:r w:rsidR="002D63A8" w:rsidRPr="004259D0">
        <w:rPr>
          <w:i/>
          <w:lang w:val="hr-HR"/>
        </w:rPr>
        <w:t>. K</w:t>
      </w:r>
      <w:r w:rsidRPr="004259D0">
        <w:rPr>
          <w:i/>
          <w:lang w:val="hr-HR"/>
        </w:rPr>
        <w:t>retanje broja stano</w:t>
      </w:r>
      <w:r w:rsidR="002D63A8" w:rsidRPr="004259D0">
        <w:rPr>
          <w:i/>
          <w:lang w:val="hr-HR"/>
        </w:rPr>
        <w:t>vnika po dobnim skupinama, RH i</w:t>
      </w:r>
      <w:r w:rsidRPr="004259D0">
        <w:rPr>
          <w:i/>
          <w:lang w:val="hr-HR"/>
        </w:rPr>
        <w:t xml:space="preserve"> EU</w:t>
      </w:r>
      <w:bookmarkEnd w:id="42"/>
    </w:p>
    <w:p w14:paraId="22CC8FDA" w14:textId="77777777" w:rsidR="00421579" w:rsidRPr="004259D0" w:rsidRDefault="002D63A8" w:rsidP="00421579">
      <w:pPr>
        <w:spacing w:after="0"/>
        <w:jc w:val="both"/>
        <w:rPr>
          <w:rFonts w:cs="Arial"/>
          <w:color w:val="FF0000"/>
          <w:lang w:val="hr-HR"/>
        </w:rPr>
      </w:pPr>
      <w:r w:rsidRPr="004259D0">
        <w:rPr>
          <w:noProof/>
          <w:lang w:val="hr-HR" w:eastAsia="hr-HR"/>
        </w:rPr>
        <w:drawing>
          <wp:inline distT="0" distB="0" distL="0" distR="0" wp14:anchorId="39B33993" wp14:editId="2BB494E5">
            <wp:extent cx="5760720" cy="25582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2558213"/>
                    </a:xfrm>
                    <a:prstGeom prst="rect">
                      <a:avLst/>
                    </a:prstGeom>
                    <a:noFill/>
                    <a:ln>
                      <a:noFill/>
                    </a:ln>
                  </pic:spPr>
                </pic:pic>
              </a:graphicData>
            </a:graphic>
          </wp:inline>
        </w:drawing>
      </w:r>
    </w:p>
    <w:p w14:paraId="1CB77497" w14:textId="77777777" w:rsidR="00421579" w:rsidRPr="004259D0" w:rsidRDefault="00421579" w:rsidP="00421579">
      <w:pPr>
        <w:spacing w:after="0"/>
        <w:jc w:val="both"/>
        <w:rPr>
          <w:i/>
          <w:sz w:val="20"/>
          <w:lang w:val="hr-HR"/>
        </w:rPr>
      </w:pPr>
      <w:r w:rsidRPr="004259D0">
        <w:rPr>
          <w:i/>
          <w:sz w:val="20"/>
          <w:lang w:val="hr-HR"/>
        </w:rPr>
        <w:t>Izvor: Europska komisija</w:t>
      </w:r>
    </w:p>
    <w:p w14:paraId="409069F8" w14:textId="7B6A68DC" w:rsidR="00421579" w:rsidRPr="004259D0" w:rsidRDefault="00421579" w:rsidP="00F72A66">
      <w:pPr>
        <w:spacing w:before="240"/>
        <w:jc w:val="both"/>
        <w:rPr>
          <w:rFonts w:ascii="Calibri" w:hAnsi="Calibri" w:cs="Arial"/>
          <w:lang w:val="hr-HR"/>
        </w:rPr>
      </w:pPr>
      <w:r w:rsidRPr="004259D0">
        <w:rPr>
          <w:rFonts w:ascii="Calibri" w:hAnsi="Calibri" w:cs="Arial"/>
          <w:lang w:val="hr-HR"/>
        </w:rPr>
        <w:t xml:space="preserve">Slika </w:t>
      </w:r>
      <w:r w:rsidR="00F0497E" w:rsidRPr="004259D0">
        <w:rPr>
          <w:rFonts w:ascii="Calibri" w:hAnsi="Calibri" w:cs="Arial"/>
          <w:lang w:val="hr-HR"/>
        </w:rPr>
        <w:t>5.</w:t>
      </w:r>
      <w:r w:rsidR="004D031B" w:rsidRPr="004259D0">
        <w:rPr>
          <w:rFonts w:ascii="Calibri" w:hAnsi="Calibri" w:cs="Arial"/>
          <w:lang w:val="hr-HR"/>
        </w:rPr>
        <w:t>1</w:t>
      </w:r>
      <w:r w:rsidR="00F0497E" w:rsidRPr="004259D0">
        <w:rPr>
          <w:rFonts w:ascii="Calibri" w:hAnsi="Calibri" w:cs="Arial"/>
          <w:lang w:val="hr-HR"/>
        </w:rPr>
        <w:t>.</w:t>
      </w:r>
      <w:r w:rsidRPr="004259D0">
        <w:rPr>
          <w:rFonts w:ascii="Calibri" w:hAnsi="Calibri" w:cs="Arial"/>
          <w:lang w:val="hr-HR"/>
        </w:rPr>
        <w:t xml:space="preserve"> s prikazom starijih osoba od 65 godina, potvrđuje predviđanja da će 2070. godine </w:t>
      </w:r>
      <w:r w:rsidR="007F7986" w:rsidRPr="004259D0">
        <w:rPr>
          <w:rFonts w:ascii="Calibri" w:hAnsi="Calibri" w:cs="Arial"/>
          <w:lang w:val="hr-HR"/>
        </w:rPr>
        <w:t>dvije trećine</w:t>
      </w:r>
      <w:r w:rsidRPr="004259D0">
        <w:rPr>
          <w:rFonts w:ascii="Calibri" w:hAnsi="Calibri" w:cs="Arial"/>
          <w:lang w:val="hr-HR"/>
        </w:rPr>
        <w:t xml:space="preserve"> Europe imati više od 20% stanovništva te dobne skupine.</w:t>
      </w:r>
    </w:p>
    <w:p w14:paraId="7F3E3272" w14:textId="77777777" w:rsidR="00421579" w:rsidRPr="004259D0" w:rsidRDefault="004D031B" w:rsidP="004D031B">
      <w:pPr>
        <w:spacing w:after="0" w:line="240" w:lineRule="auto"/>
        <w:jc w:val="both"/>
        <w:rPr>
          <w:i/>
          <w:lang w:val="hr-HR"/>
        </w:rPr>
      </w:pPr>
      <w:bookmarkStart w:id="43" w:name="_Toc512199277"/>
      <w:r w:rsidRPr="004259D0">
        <w:rPr>
          <w:i/>
          <w:lang w:val="hr-HR"/>
        </w:rPr>
        <w:t xml:space="preserve">Slika </w:t>
      </w:r>
      <w:r w:rsidRPr="004259D0">
        <w:rPr>
          <w:i/>
          <w:lang w:val="hr-HR"/>
        </w:rPr>
        <w:fldChar w:fldCharType="begin"/>
      </w:r>
      <w:r w:rsidRPr="004259D0">
        <w:rPr>
          <w:i/>
          <w:lang w:val="hr-HR"/>
        </w:rPr>
        <w:instrText xml:space="preserve"> STYLEREF 1 \s </w:instrText>
      </w:r>
      <w:r w:rsidRPr="004259D0">
        <w:rPr>
          <w:i/>
          <w:lang w:val="hr-HR"/>
        </w:rPr>
        <w:fldChar w:fldCharType="separate"/>
      </w:r>
      <w:r w:rsidR="00572AFD">
        <w:rPr>
          <w:i/>
          <w:noProof/>
          <w:lang w:val="hr-HR"/>
        </w:rPr>
        <w:t>5</w:t>
      </w:r>
      <w:r w:rsidRPr="004259D0">
        <w:rPr>
          <w:i/>
          <w:lang w:val="hr-HR"/>
        </w:rPr>
        <w:fldChar w:fldCharType="end"/>
      </w:r>
      <w:r w:rsidRPr="004259D0">
        <w:rPr>
          <w:i/>
          <w:lang w:val="hr-HR"/>
        </w:rPr>
        <w:t>.</w:t>
      </w:r>
      <w:r w:rsidRPr="004259D0">
        <w:rPr>
          <w:i/>
          <w:lang w:val="hr-HR"/>
        </w:rPr>
        <w:fldChar w:fldCharType="begin"/>
      </w:r>
      <w:r w:rsidRPr="004259D0">
        <w:rPr>
          <w:i/>
          <w:lang w:val="hr-HR"/>
        </w:rPr>
        <w:instrText xml:space="preserve"> SEQ Slika \* ARABIC \s 1 </w:instrText>
      </w:r>
      <w:r w:rsidRPr="004259D0">
        <w:rPr>
          <w:i/>
          <w:lang w:val="hr-HR"/>
        </w:rPr>
        <w:fldChar w:fldCharType="separate"/>
      </w:r>
      <w:r w:rsidR="00572AFD">
        <w:rPr>
          <w:i/>
          <w:noProof/>
          <w:lang w:val="hr-HR"/>
        </w:rPr>
        <w:t>1</w:t>
      </w:r>
      <w:r w:rsidRPr="004259D0">
        <w:rPr>
          <w:i/>
          <w:lang w:val="hr-HR"/>
        </w:rPr>
        <w:fldChar w:fldCharType="end"/>
      </w:r>
      <w:r w:rsidRPr="004259D0">
        <w:rPr>
          <w:i/>
          <w:lang w:val="hr-HR"/>
        </w:rPr>
        <w:t>.</w:t>
      </w:r>
      <w:r w:rsidR="00421579" w:rsidRPr="004259D0">
        <w:rPr>
          <w:i/>
          <w:lang w:val="hr-HR"/>
        </w:rPr>
        <w:t xml:space="preserve"> Populacija Europe star</w:t>
      </w:r>
      <w:bookmarkEnd w:id="43"/>
      <w:r w:rsidR="00421579" w:rsidRPr="004259D0">
        <w:rPr>
          <w:i/>
          <w:lang w:val="hr-HR"/>
        </w:rPr>
        <w:t>ija od 65 godina u 2016. godini</w:t>
      </w:r>
    </w:p>
    <w:p w14:paraId="10223A13" w14:textId="77777777" w:rsidR="00421579" w:rsidRPr="004259D0" w:rsidRDefault="00421579" w:rsidP="00421579">
      <w:pPr>
        <w:spacing w:after="0"/>
        <w:rPr>
          <w:rFonts w:ascii="Arial" w:hAnsi="Arial" w:cs="Arial"/>
          <w:lang w:val="hr-HR"/>
        </w:rPr>
      </w:pPr>
      <w:r w:rsidRPr="004259D0">
        <w:rPr>
          <w:rFonts w:ascii="Arial" w:hAnsi="Arial" w:cs="Arial"/>
          <w:noProof/>
          <w:lang w:val="hr-HR" w:eastAsia="hr-HR"/>
        </w:rPr>
        <w:drawing>
          <wp:inline distT="0" distB="0" distL="0" distR="0" wp14:anchorId="49C0DC86" wp14:editId="06D8D787">
            <wp:extent cx="4391025" cy="3788335"/>
            <wp:effectExtent l="19050" t="19050" r="28575" b="21665"/>
            <wp:docPr id="1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4391025" cy="3788335"/>
                    </a:xfrm>
                    <a:prstGeom prst="rect">
                      <a:avLst/>
                    </a:prstGeom>
                    <a:noFill/>
                    <a:ln w="3175">
                      <a:solidFill>
                        <a:schemeClr val="tx1"/>
                      </a:solidFill>
                      <a:miter lim="800000"/>
                      <a:headEnd/>
                      <a:tailEnd/>
                    </a:ln>
                  </pic:spPr>
                </pic:pic>
              </a:graphicData>
            </a:graphic>
          </wp:inline>
        </w:drawing>
      </w:r>
    </w:p>
    <w:p w14:paraId="0C1AABB8" w14:textId="77777777" w:rsidR="00421579" w:rsidRPr="004259D0" w:rsidRDefault="00421579" w:rsidP="00421579">
      <w:pPr>
        <w:spacing w:after="0"/>
        <w:jc w:val="both"/>
        <w:rPr>
          <w:rFonts w:ascii="Calibri" w:hAnsi="Calibri" w:cs="Arial"/>
          <w:i/>
          <w:sz w:val="20"/>
          <w:szCs w:val="20"/>
          <w:lang w:val="hr-HR"/>
        </w:rPr>
      </w:pPr>
      <w:r w:rsidRPr="004259D0">
        <w:rPr>
          <w:rFonts w:ascii="Calibri" w:hAnsi="Calibri" w:cs="Arial"/>
          <w:i/>
          <w:sz w:val="20"/>
          <w:szCs w:val="20"/>
          <w:lang w:val="hr-HR"/>
        </w:rPr>
        <w:t>Izvor: Eurostat</w:t>
      </w:r>
    </w:p>
    <w:p w14:paraId="39FD2493" w14:textId="71DD288C" w:rsidR="00421579" w:rsidRPr="004259D0" w:rsidRDefault="00421579" w:rsidP="00F72A66">
      <w:pPr>
        <w:spacing w:before="240"/>
        <w:jc w:val="both"/>
        <w:rPr>
          <w:rFonts w:ascii="Calibri" w:hAnsi="Calibri" w:cs="Arial"/>
          <w:lang w:val="hr-HR"/>
        </w:rPr>
      </w:pPr>
      <w:r w:rsidRPr="004259D0">
        <w:rPr>
          <w:rFonts w:ascii="Calibri" w:hAnsi="Calibri" w:cs="Arial"/>
          <w:lang w:val="hr-HR"/>
        </w:rPr>
        <w:t xml:space="preserve">Uz smanjenje broja stanovnika, </w:t>
      </w:r>
      <w:r w:rsidR="00F0497E" w:rsidRPr="004259D0">
        <w:rPr>
          <w:rFonts w:ascii="Calibri" w:hAnsi="Calibri" w:cs="Arial"/>
          <w:lang w:val="hr-HR"/>
        </w:rPr>
        <w:t>RH</w:t>
      </w:r>
      <w:r w:rsidRPr="004259D0">
        <w:rPr>
          <w:rFonts w:ascii="Calibri" w:hAnsi="Calibri" w:cs="Arial"/>
          <w:lang w:val="hr-HR"/>
        </w:rPr>
        <w:t xml:space="preserve"> prati europski trend produljenja životnog vijeka. Očekivano trajanje života pri rođenju u 2016. godini bilo je 81,1 godinu za žene te 75 godina za muškarce. To je manje od prosjeka zemalja EU gdje je očekivano trajanje života pri rođenju za žene bilo 83,7 godin</w:t>
      </w:r>
      <w:r w:rsidR="007F7986" w:rsidRPr="004259D0">
        <w:rPr>
          <w:rFonts w:ascii="Calibri" w:hAnsi="Calibri" w:cs="Arial"/>
          <w:lang w:val="hr-HR"/>
        </w:rPr>
        <w:t>a</w:t>
      </w:r>
      <w:r w:rsidRPr="004259D0">
        <w:rPr>
          <w:rFonts w:ascii="Calibri" w:hAnsi="Calibri" w:cs="Arial"/>
          <w:lang w:val="hr-HR"/>
        </w:rPr>
        <w:t xml:space="preserve">, </w:t>
      </w:r>
      <w:r w:rsidR="00821E48" w:rsidRPr="004259D0">
        <w:rPr>
          <w:rFonts w:ascii="Calibri" w:hAnsi="Calibri" w:cs="Arial"/>
          <w:lang w:val="hr-HR"/>
        </w:rPr>
        <w:t>dok je za muškarce 78,3 godina. Međutim</w:t>
      </w:r>
      <w:r w:rsidR="007F7986" w:rsidRPr="004259D0">
        <w:rPr>
          <w:rFonts w:ascii="Calibri" w:hAnsi="Calibri" w:cs="Arial"/>
          <w:lang w:val="hr-HR"/>
        </w:rPr>
        <w:t>,</w:t>
      </w:r>
      <w:r w:rsidR="00821E48" w:rsidRPr="004259D0">
        <w:rPr>
          <w:rFonts w:ascii="Calibri" w:hAnsi="Calibri" w:cs="Arial"/>
          <w:lang w:val="hr-HR"/>
        </w:rPr>
        <w:t xml:space="preserve"> </w:t>
      </w:r>
      <w:r w:rsidRPr="004259D0">
        <w:rPr>
          <w:rFonts w:ascii="Calibri" w:hAnsi="Calibri" w:cs="Arial"/>
          <w:lang w:val="hr-HR"/>
        </w:rPr>
        <w:t xml:space="preserve">podaci za </w:t>
      </w:r>
      <w:r w:rsidR="00821E48" w:rsidRPr="004259D0">
        <w:rPr>
          <w:rFonts w:ascii="Calibri" w:hAnsi="Calibri" w:cs="Arial"/>
          <w:lang w:val="hr-HR"/>
        </w:rPr>
        <w:t>RH</w:t>
      </w:r>
      <w:r w:rsidRPr="004259D0">
        <w:rPr>
          <w:rFonts w:ascii="Calibri" w:hAnsi="Calibri" w:cs="Arial"/>
          <w:lang w:val="hr-HR"/>
        </w:rPr>
        <w:t xml:space="preserve"> govore o tendenciji rasta očekivanog trajanja života do 2070. za 9,4 godine za muškarce i 7,8 godina za žene, dok se u EU očekuje rast godina za muškarce za 7,8, odnosno 6 godina za žene. </w:t>
      </w:r>
    </w:p>
    <w:p w14:paraId="68414270" w14:textId="77777777" w:rsidR="00421579" w:rsidRPr="004259D0" w:rsidRDefault="00421579" w:rsidP="00421579">
      <w:pPr>
        <w:spacing w:after="0" w:line="240" w:lineRule="auto"/>
        <w:jc w:val="both"/>
        <w:rPr>
          <w:i/>
          <w:lang w:val="hr-HR"/>
        </w:rPr>
      </w:pPr>
      <w:bookmarkStart w:id="44" w:name="_Toc6418650"/>
      <w:bookmarkStart w:id="45" w:name="_Toc481047610"/>
      <w:r w:rsidRPr="004259D0">
        <w:rPr>
          <w:i/>
          <w:lang w:val="hr-HR"/>
        </w:rPr>
        <w:t xml:space="preserve">Grafikon </w:t>
      </w:r>
      <w:r w:rsidR="004D031B" w:rsidRPr="004259D0">
        <w:rPr>
          <w:i/>
          <w:lang w:val="hr-HR"/>
        </w:rPr>
        <w:fldChar w:fldCharType="begin"/>
      </w:r>
      <w:r w:rsidR="004D031B" w:rsidRPr="004259D0">
        <w:rPr>
          <w:i/>
          <w:lang w:val="hr-HR"/>
        </w:rPr>
        <w:instrText xml:space="preserve"> STYLEREF 1 \s </w:instrText>
      </w:r>
      <w:r w:rsidR="004D031B" w:rsidRPr="004259D0">
        <w:rPr>
          <w:i/>
          <w:lang w:val="hr-HR"/>
        </w:rPr>
        <w:fldChar w:fldCharType="separate"/>
      </w:r>
      <w:r w:rsidR="00572AFD">
        <w:rPr>
          <w:i/>
          <w:noProof/>
          <w:lang w:val="hr-HR"/>
        </w:rPr>
        <w:t>5</w:t>
      </w:r>
      <w:r w:rsidR="004D031B" w:rsidRPr="004259D0">
        <w:rPr>
          <w:i/>
          <w:lang w:val="hr-HR"/>
        </w:rPr>
        <w:fldChar w:fldCharType="end"/>
      </w:r>
      <w:r w:rsidR="004D031B" w:rsidRPr="004259D0">
        <w:rPr>
          <w:i/>
          <w:lang w:val="hr-HR"/>
        </w:rPr>
        <w:t>.</w:t>
      </w:r>
      <w:r w:rsidR="004D031B" w:rsidRPr="004259D0">
        <w:rPr>
          <w:i/>
          <w:lang w:val="hr-HR"/>
        </w:rPr>
        <w:fldChar w:fldCharType="begin"/>
      </w:r>
      <w:r w:rsidR="004D031B" w:rsidRPr="004259D0">
        <w:rPr>
          <w:i/>
          <w:lang w:val="hr-HR"/>
        </w:rPr>
        <w:instrText xml:space="preserve"> SEQ Grafikon \* ARABIC \s 1 </w:instrText>
      </w:r>
      <w:r w:rsidR="004D031B" w:rsidRPr="004259D0">
        <w:rPr>
          <w:i/>
          <w:lang w:val="hr-HR"/>
        </w:rPr>
        <w:fldChar w:fldCharType="separate"/>
      </w:r>
      <w:r w:rsidR="00572AFD">
        <w:rPr>
          <w:i/>
          <w:noProof/>
          <w:lang w:val="hr-HR"/>
        </w:rPr>
        <w:t>3</w:t>
      </w:r>
      <w:r w:rsidR="004D031B" w:rsidRPr="004259D0">
        <w:rPr>
          <w:i/>
          <w:lang w:val="hr-HR"/>
        </w:rPr>
        <w:fldChar w:fldCharType="end"/>
      </w:r>
      <w:r w:rsidRPr="004259D0">
        <w:rPr>
          <w:i/>
          <w:lang w:val="hr-HR"/>
        </w:rPr>
        <w:t>.</w:t>
      </w:r>
      <w:r w:rsidRPr="004259D0">
        <w:rPr>
          <w:rFonts w:ascii="Calibri" w:hAnsi="Calibri"/>
          <w:lang w:val="hr-HR"/>
        </w:rPr>
        <w:t xml:space="preserve"> </w:t>
      </w:r>
      <w:r w:rsidRPr="004259D0">
        <w:rPr>
          <w:rFonts w:ascii="Calibri" w:hAnsi="Calibri"/>
          <w:i/>
          <w:lang w:val="hr-HR"/>
        </w:rPr>
        <w:t>Očekivano trajanje života pri rođenju, žene</w:t>
      </w:r>
      <w:bookmarkEnd w:id="44"/>
      <w:r w:rsidRPr="004259D0">
        <w:rPr>
          <w:rFonts w:ascii="Calibri" w:hAnsi="Calibri"/>
          <w:i/>
          <w:lang w:val="hr-HR"/>
        </w:rPr>
        <w:t xml:space="preserve"> </w:t>
      </w:r>
      <w:bookmarkEnd w:id="45"/>
    </w:p>
    <w:p w14:paraId="2A9EC00B" w14:textId="77777777" w:rsidR="00421579" w:rsidRPr="004259D0" w:rsidRDefault="002572F9" w:rsidP="00421579">
      <w:pPr>
        <w:spacing w:after="0"/>
        <w:rPr>
          <w:lang w:val="hr-HR"/>
        </w:rPr>
      </w:pPr>
      <w:r w:rsidRPr="004259D0">
        <w:rPr>
          <w:noProof/>
          <w:lang w:val="hr-HR" w:eastAsia="hr-HR"/>
        </w:rPr>
        <w:drawing>
          <wp:inline distT="0" distB="0" distL="0" distR="0" wp14:anchorId="47D0F729" wp14:editId="36A6C4AD">
            <wp:extent cx="5760720" cy="25400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2540053"/>
                    </a:xfrm>
                    <a:prstGeom prst="rect">
                      <a:avLst/>
                    </a:prstGeom>
                    <a:noFill/>
                    <a:ln>
                      <a:noFill/>
                    </a:ln>
                  </pic:spPr>
                </pic:pic>
              </a:graphicData>
            </a:graphic>
          </wp:inline>
        </w:drawing>
      </w:r>
    </w:p>
    <w:p w14:paraId="273A3B6B" w14:textId="77777777" w:rsidR="00421579" w:rsidRPr="004259D0" w:rsidRDefault="00421579" w:rsidP="00421579">
      <w:pPr>
        <w:jc w:val="both"/>
        <w:rPr>
          <w:i/>
          <w:sz w:val="20"/>
          <w:szCs w:val="20"/>
          <w:lang w:val="hr-HR"/>
        </w:rPr>
      </w:pPr>
      <w:r w:rsidRPr="004259D0">
        <w:rPr>
          <w:i/>
          <w:sz w:val="20"/>
          <w:lang w:val="hr-HR"/>
        </w:rPr>
        <w:t>Izvor</w:t>
      </w:r>
      <w:r w:rsidRPr="004259D0">
        <w:rPr>
          <w:i/>
          <w:sz w:val="20"/>
          <w:szCs w:val="20"/>
          <w:lang w:val="hr-HR"/>
        </w:rPr>
        <w:t xml:space="preserve">: </w:t>
      </w:r>
      <w:r w:rsidRPr="004259D0">
        <w:rPr>
          <w:rFonts w:cs="Arial"/>
          <w:i/>
          <w:sz w:val="20"/>
          <w:szCs w:val="20"/>
          <w:lang w:val="hr-HR"/>
        </w:rPr>
        <w:t>Europska komisija</w:t>
      </w:r>
    </w:p>
    <w:p w14:paraId="00062E0C" w14:textId="77777777" w:rsidR="00421579" w:rsidRPr="004259D0" w:rsidRDefault="00421579" w:rsidP="00421579">
      <w:pPr>
        <w:spacing w:after="0" w:line="240" w:lineRule="auto"/>
        <w:jc w:val="both"/>
        <w:rPr>
          <w:i/>
          <w:lang w:val="hr-HR"/>
        </w:rPr>
      </w:pPr>
      <w:bookmarkStart w:id="46" w:name="_Toc6418651"/>
      <w:bookmarkStart w:id="47" w:name="_Toc481047611"/>
      <w:r w:rsidRPr="004259D0">
        <w:rPr>
          <w:i/>
          <w:lang w:val="hr-HR"/>
        </w:rPr>
        <w:t xml:space="preserve">Grafikon </w:t>
      </w:r>
      <w:r w:rsidR="004D031B" w:rsidRPr="004259D0">
        <w:rPr>
          <w:i/>
          <w:lang w:val="hr-HR"/>
        </w:rPr>
        <w:fldChar w:fldCharType="begin"/>
      </w:r>
      <w:r w:rsidR="004D031B" w:rsidRPr="004259D0">
        <w:rPr>
          <w:i/>
          <w:lang w:val="hr-HR"/>
        </w:rPr>
        <w:instrText xml:space="preserve"> STYLEREF 1 \s </w:instrText>
      </w:r>
      <w:r w:rsidR="004D031B" w:rsidRPr="004259D0">
        <w:rPr>
          <w:i/>
          <w:lang w:val="hr-HR"/>
        </w:rPr>
        <w:fldChar w:fldCharType="separate"/>
      </w:r>
      <w:r w:rsidR="00572AFD">
        <w:rPr>
          <w:i/>
          <w:noProof/>
          <w:lang w:val="hr-HR"/>
        </w:rPr>
        <w:t>5</w:t>
      </w:r>
      <w:r w:rsidR="004D031B" w:rsidRPr="004259D0">
        <w:rPr>
          <w:i/>
          <w:lang w:val="hr-HR"/>
        </w:rPr>
        <w:fldChar w:fldCharType="end"/>
      </w:r>
      <w:r w:rsidR="004D031B" w:rsidRPr="004259D0">
        <w:rPr>
          <w:i/>
          <w:lang w:val="hr-HR"/>
        </w:rPr>
        <w:t>.</w:t>
      </w:r>
      <w:r w:rsidR="004D031B" w:rsidRPr="004259D0">
        <w:rPr>
          <w:i/>
          <w:lang w:val="hr-HR"/>
        </w:rPr>
        <w:fldChar w:fldCharType="begin"/>
      </w:r>
      <w:r w:rsidR="004D031B" w:rsidRPr="004259D0">
        <w:rPr>
          <w:i/>
          <w:lang w:val="hr-HR"/>
        </w:rPr>
        <w:instrText xml:space="preserve"> SEQ Grafikon \* ARABIC \s 1 </w:instrText>
      </w:r>
      <w:r w:rsidR="004D031B" w:rsidRPr="004259D0">
        <w:rPr>
          <w:i/>
          <w:lang w:val="hr-HR"/>
        </w:rPr>
        <w:fldChar w:fldCharType="separate"/>
      </w:r>
      <w:r w:rsidR="00572AFD">
        <w:rPr>
          <w:i/>
          <w:noProof/>
          <w:lang w:val="hr-HR"/>
        </w:rPr>
        <w:t>4</w:t>
      </w:r>
      <w:r w:rsidR="004D031B" w:rsidRPr="004259D0">
        <w:rPr>
          <w:i/>
          <w:lang w:val="hr-HR"/>
        </w:rPr>
        <w:fldChar w:fldCharType="end"/>
      </w:r>
      <w:r w:rsidRPr="004259D0">
        <w:rPr>
          <w:i/>
          <w:lang w:val="hr-HR"/>
        </w:rPr>
        <w:t>.</w:t>
      </w:r>
      <w:r w:rsidRPr="004259D0">
        <w:rPr>
          <w:rFonts w:ascii="Calibri" w:hAnsi="Calibri"/>
          <w:i/>
          <w:lang w:val="hr-HR"/>
        </w:rPr>
        <w:t xml:space="preserve"> Očekivano trajanje života pri rođenju, muškarci</w:t>
      </w:r>
      <w:bookmarkEnd w:id="46"/>
      <w:r w:rsidRPr="004259D0">
        <w:rPr>
          <w:rFonts w:ascii="Calibri" w:hAnsi="Calibri"/>
          <w:i/>
          <w:lang w:val="hr-HR"/>
        </w:rPr>
        <w:t xml:space="preserve"> </w:t>
      </w:r>
      <w:bookmarkEnd w:id="47"/>
    </w:p>
    <w:p w14:paraId="0821425A" w14:textId="77777777" w:rsidR="00421579" w:rsidRPr="004259D0" w:rsidRDefault="002572F9" w:rsidP="00421579">
      <w:pPr>
        <w:spacing w:after="0" w:line="240" w:lineRule="auto"/>
        <w:jc w:val="both"/>
        <w:rPr>
          <w:i/>
          <w:lang w:val="hr-HR"/>
        </w:rPr>
      </w:pPr>
      <w:r w:rsidRPr="004259D0">
        <w:rPr>
          <w:noProof/>
          <w:lang w:val="hr-HR" w:eastAsia="hr-HR"/>
        </w:rPr>
        <w:drawing>
          <wp:inline distT="0" distB="0" distL="0" distR="0" wp14:anchorId="36D3E017" wp14:editId="79489184">
            <wp:extent cx="5760720" cy="25400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2540053"/>
                    </a:xfrm>
                    <a:prstGeom prst="rect">
                      <a:avLst/>
                    </a:prstGeom>
                    <a:noFill/>
                    <a:ln>
                      <a:noFill/>
                    </a:ln>
                  </pic:spPr>
                </pic:pic>
              </a:graphicData>
            </a:graphic>
          </wp:inline>
        </w:drawing>
      </w:r>
    </w:p>
    <w:p w14:paraId="053FF14C" w14:textId="319433F7" w:rsidR="00421579" w:rsidRPr="004259D0" w:rsidRDefault="00421579" w:rsidP="00342D6B">
      <w:pPr>
        <w:jc w:val="both"/>
        <w:rPr>
          <w:i/>
          <w:sz w:val="20"/>
          <w:lang w:val="hr-HR"/>
        </w:rPr>
      </w:pPr>
      <w:r w:rsidRPr="004259D0">
        <w:rPr>
          <w:i/>
          <w:sz w:val="20"/>
          <w:lang w:val="hr-HR"/>
        </w:rPr>
        <w:t>Izvor:</w:t>
      </w:r>
      <w:r w:rsidRPr="004259D0">
        <w:rPr>
          <w:rFonts w:cs="Arial"/>
          <w:color w:val="FF0000"/>
          <w:sz w:val="20"/>
          <w:szCs w:val="20"/>
          <w:lang w:val="hr-HR"/>
        </w:rPr>
        <w:t xml:space="preserve"> </w:t>
      </w:r>
      <w:r w:rsidRPr="004259D0">
        <w:rPr>
          <w:rFonts w:cs="Arial"/>
          <w:i/>
          <w:sz w:val="20"/>
          <w:szCs w:val="20"/>
          <w:lang w:val="hr-HR"/>
        </w:rPr>
        <w:t>Europska komisija</w:t>
      </w:r>
    </w:p>
    <w:p w14:paraId="63C66F72" w14:textId="77777777" w:rsidR="001764B4" w:rsidRPr="004259D0" w:rsidRDefault="001764B4" w:rsidP="001764B4">
      <w:pPr>
        <w:jc w:val="both"/>
        <w:rPr>
          <w:rFonts w:ascii="Calibri" w:hAnsi="Calibri" w:cs="Arial"/>
          <w:lang w:val="hr-HR"/>
        </w:rPr>
      </w:pPr>
      <w:r w:rsidRPr="004259D0">
        <w:rPr>
          <w:rFonts w:ascii="Calibri" w:hAnsi="Calibri" w:cs="Arial"/>
          <w:lang w:val="hr-HR"/>
        </w:rPr>
        <w:t>Uspoređujući EU i RH u razdoblju 2016. - 2070., preostali životni vijek u 65. godini života produljit će se za 6,4 godine kod muškaraca i za 6,2 godine kod žena u RH, odnosno u EU 5,3 godine za muškarce i 5,1 godinu za žene. Takvi demografski trendovi stvorit će snažan pritisak na održivost javnih financija, uključujući i sustav generacijske solidarnosti.</w:t>
      </w:r>
    </w:p>
    <w:p w14:paraId="2A69E582" w14:textId="77777777" w:rsidR="00421579" w:rsidRPr="004259D0" w:rsidRDefault="00421579" w:rsidP="00342D6B">
      <w:pPr>
        <w:jc w:val="both"/>
        <w:rPr>
          <w:rFonts w:ascii="Calibri" w:hAnsi="Calibri" w:cs="Arial"/>
          <w:lang w:val="hr-HR"/>
        </w:rPr>
      </w:pPr>
    </w:p>
    <w:p w14:paraId="596E0227" w14:textId="77777777" w:rsidR="00F72A66" w:rsidRPr="004259D0" w:rsidRDefault="00F72A66" w:rsidP="00342D6B">
      <w:pPr>
        <w:jc w:val="both"/>
        <w:rPr>
          <w:rFonts w:ascii="Calibri" w:hAnsi="Calibri" w:cs="Arial"/>
          <w:lang w:val="hr-HR"/>
        </w:rPr>
      </w:pPr>
    </w:p>
    <w:p w14:paraId="6C5584F5" w14:textId="77777777" w:rsidR="00F72A66" w:rsidRPr="004259D0" w:rsidRDefault="00F72A66" w:rsidP="00342D6B">
      <w:pPr>
        <w:jc w:val="both"/>
        <w:rPr>
          <w:rFonts w:ascii="Calibri" w:hAnsi="Calibri" w:cs="Arial"/>
          <w:lang w:val="hr-HR"/>
        </w:rPr>
      </w:pPr>
    </w:p>
    <w:p w14:paraId="27DA8F56" w14:textId="77777777" w:rsidR="00F72A66" w:rsidRPr="004259D0" w:rsidRDefault="00F72A66" w:rsidP="00342D6B">
      <w:pPr>
        <w:jc w:val="both"/>
        <w:rPr>
          <w:rFonts w:ascii="Calibri" w:hAnsi="Calibri" w:cs="Arial"/>
          <w:lang w:val="hr-HR"/>
        </w:rPr>
      </w:pPr>
    </w:p>
    <w:p w14:paraId="3B9681DF" w14:textId="77777777" w:rsidR="00421579" w:rsidRPr="004259D0" w:rsidRDefault="00421579" w:rsidP="004448EA">
      <w:pPr>
        <w:tabs>
          <w:tab w:val="left" w:pos="913"/>
        </w:tabs>
        <w:jc w:val="both"/>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Održivost javnih financija - zdravstveni sustav i socijalna skrb</w:t>
      </w:r>
    </w:p>
    <w:p w14:paraId="18011E98" w14:textId="77777777" w:rsidR="00421579" w:rsidRPr="004259D0" w:rsidRDefault="004D031B" w:rsidP="002572F9">
      <w:pPr>
        <w:spacing w:after="0" w:line="240" w:lineRule="auto"/>
        <w:jc w:val="both"/>
        <w:rPr>
          <w:i/>
          <w:lang w:val="hr-HR"/>
        </w:rPr>
      </w:pPr>
      <w:bookmarkStart w:id="48" w:name="_Toc6418652"/>
      <w:r w:rsidRPr="004259D0">
        <w:rPr>
          <w:i/>
          <w:lang w:val="hr-HR"/>
        </w:rPr>
        <w:t xml:space="preserve">Grafikon </w:t>
      </w:r>
      <w:r w:rsidRPr="004259D0">
        <w:rPr>
          <w:i/>
          <w:lang w:val="hr-HR"/>
        </w:rPr>
        <w:fldChar w:fldCharType="begin"/>
      </w:r>
      <w:r w:rsidRPr="004259D0">
        <w:rPr>
          <w:i/>
          <w:lang w:val="hr-HR"/>
        </w:rPr>
        <w:instrText xml:space="preserve"> STYLEREF 1 \s </w:instrText>
      </w:r>
      <w:r w:rsidRPr="004259D0">
        <w:rPr>
          <w:i/>
          <w:lang w:val="hr-HR"/>
        </w:rPr>
        <w:fldChar w:fldCharType="separate"/>
      </w:r>
      <w:r w:rsidR="00572AFD">
        <w:rPr>
          <w:i/>
          <w:noProof/>
          <w:lang w:val="hr-HR"/>
        </w:rPr>
        <w:t>5</w:t>
      </w:r>
      <w:r w:rsidRPr="004259D0">
        <w:rPr>
          <w:i/>
          <w:lang w:val="hr-HR"/>
        </w:rPr>
        <w:fldChar w:fldCharType="end"/>
      </w:r>
      <w:r w:rsidRPr="004259D0">
        <w:rPr>
          <w:i/>
          <w:lang w:val="hr-HR"/>
        </w:rPr>
        <w:t>.</w:t>
      </w:r>
      <w:r w:rsidRPr="004259D0">
        <w:rPr>
          <w:i/>
          <w:lang w:val="hr-HR"/>
        </w:rPr>
        <w:fldChar w:fldCharType="begin"/>
      </w:r>
      <w:r w:rsidRPr="004259D0">
        <w:rPr>
          <w:i/>
          <w:lang w:val="hr-HR"/>
        </w:rPr>
        <w:instrText xml:space="preserve"> SEQ Grafikon \* ARABIC \s 1 </w:instrText>
      </w:r>
      <w:r w:rsidRPr="004259D0">
        <w:rPr>
          <w:i/>
          <w:lang w:val="hr-HR"/>
        </w:rPr>
        <w:fldChar w:fldCharType="separate"/>
      </w:r>
      <w:r w:rsidR="00572AFD">
        <w:rPr>
          <w:i/>
          <w:noProof/>
          <w:lang w:val="hr-HR"/>
        </w:rPr>
        <w:t>5</w:t>
      </w:r>
      <w:r w:rsidRPr="004259D0">
        <w:rPr>
          <w:i/>
          <w:lang w:val="hr-HR"/>
        </w:rPr>
        <w:fldChar w:fldCharType="end"/>
      </w:r>
      <w:r w:rsidRPr="004259D0">
        <w:rPr>
          <w:i/>
          <w:lang w:val="hr-HR"/>
        </w:rPr>
        <w:t>.</w:t>
      </w:r>
      <w:r w:rsidR="00421579" w:rsidRPr="004259D0">
        <w:rPr>
          <w:i/>
          <w:lang w:val="hr-HR"/>
        </w:rPr>
        <w:t xml:space="preserve"> Potrošnja za zdravstvo </w:t>
      </w:r>
      <w:r w:rsidR="007A1C0A" w:rsidRPr="004259D0">
        <w:rPr>
          <w:i/>
          <w:lang w:val="hr-HR"/>
        </w:rPr>
        <w:t>(</w:t>
      </w:r>
      <w:r w:rsidR="00421579" w:rsidRPr="004259D0">
        <w:rPr>
          <w:i/>
          <w:lang w:val="hr-HR"/>
        </w:rPr>
        <w:t>% BDP-a</w:t>
      </w:r>
      <w:r w:rsidR="007A1C0A" w:rsidRPr="004259D0">
        <w:rPr>
          <w:i/>
          <w:lang w:val="hr-HR"/>
        </w:rPr>
        <w:t>)</w:t>
      </w:r>
      <w:bookmarkEnd w:id="48"/>
    </w:p>
    <w:p w14:paraId="7DFF6F74" w14:textId="77777777" w:rsidR="00421579" w:rsidRPr="004259D0" w:rsidRDefault="002572F9" w:rsidP="00421579">
      <w:pPr>
        <w:spacing w:after="0" w:line="240" w:lineRule="auto"/>
        <w:jc w:val="both"/>
        <w:rPr>
          <w:i/>
          <w:lang w:val="hr-HR"/>
        </w:rPr>
      </w:pPr>
      <w:r w:rsidRPr="004259D0">
        <w:rPr>
          <w:noProof/>
          <w:lang w:val="hr-HR" w:eastAsia="hr-HR"/>
        </w:rPr>
        <w:drawing>
          <wp:inline distT="0" distB="0" distL="0" distR="0" wp14:anchorId="700379E0" wp14:editId="50676934">
            <wp:extent cx="5760720" cy="2601723"/>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2601723"/>
                    </a:xfrm>
                    <a:prstGeom prst="rect">
                      <a:avLst/>
                    </a:prstGeom>
                    <a:noFill/>
                    <a:ln>
                      <a:noFill/>
                    </a:ln>
                  </pic:spPr>
                </pic:pic>
              </a:graphicData>
            </a:graphic>
          </wp:inline>
        </w:drawing>
      </w:r>
    </w:p>
    <w:p w14:paraId="4B63A4DC" w14:textId="77777777" w:rsidR="00421579" w:rsidRPr="004259D0" w:rsidRDefault="00421579" w:rsidP="00421579">
      <w:pPr>
        <w:jc w:val="both"/>
        <w:rPr>
          <w:i/>
          <w:sz w:val="20"/>
          <w:lang w:val="hr-HR"/>
        </w:rPr>
      </w:pPr>
      <w:r w:rsidRPr="004259D0">
        <w:rPr>
          <w:i/>
          <w:sz w:val="20"/>
          <w:lang w:val="hr-HR"/>
        </w:rPr>
        <w:t xml:space="preserve">Izvor: </w:t>
      </w:r>
      <w:r w:rsidRPr="004259D0">
        <w:rPr>
          <w:rFonts w:cs="Arial"/>
          <w:i/>
          <w:sz w:val="20"/>
          <w:szCs w:val="20"/>
          <w:lang w:val="hr-HR"/>
        </w:rPr>
        <w:t>Europska komisija</w:t>
      </w:r>
    </w:p>
    <w:p w14:paraId="48B85F2B" w14:textId="06B9921D" w:rsidR="00421579" w:rsidRPr="004259D0" w:rsidRDefault="00421579" w:rsidP="00421579">
      <w:pPr>
        <w:tabs>
          <w:tab w:val="left" w:pos="913"/>
        </w:tabs>
        <w:jc w:val="both"/>
        <w:rPr>
          <w:lang w:val="hr-HR"/>
        </w:rPr>
      </w:pPr>
      <w:r w:rsidRPr="004259D0">
        <w:rPr>
          <w:lang w:val="hr-HR"/>
        </w:rPr>
        <w:t xml:space="preserve">Iz perspektive zdravstvenog sustava, demografske promjene imaju znatan utjecaj na potražnju za uslugama zdravstvene zaštite. Prema Izvješću o starenju </w:t>
      </w:r>
      <w:r w:rsidR="00AC0156" w:rsidRPr="004259D0">
        <w:rPr>
          <w:lang w:val="hr-HR"/>
        </w:rPr>
        <w:t>2018</w:t>
      </w:r>
      <w:r w:rsidR="00F72A66" w:rsidRPr="004259D0">
        <w:rPr>
          <w:lang w:val="hr-HR"/>
        </w:rPr>
        <w:t xml:space="preserve"> od EK</w:t>
      </w:r>
      <w:r w:rsidRPr="004259D0">
        <w:rPr>
          <w:lang w:val="hr-HR"/>
        </w:rPr>
        <w:t xml:space="preserve">, ukupna potrošnja za zdravstvo u RH 2016. godine iznosila je 5,2% BDP-a, što je </w:t>
      </w:r>
      <w:r w:rsidR="00EC748D" w:rsidRPr="004259D0">
        <w:rPr>
          <w:lang w:val="hr-HR"/>
        </w:rPr>
        <w:t>1,6 postotnih bodova nože</w:t>
      </w:r>
      <w:r w:rsidRPr="004259D0">
        <w:rPr>
          <w:lang w:val="hr-HR"/>
        </w:rPr>
        <w:t xml:space="preserve"> od prosjeka EU</w:t>
      </w:r>
      <w:r w:rsidR="00EC748D" w:rsidRPr="004259D0">
        <w:rPr>
          <w:lang w:val="hr-HR"/>
        </w:rPr>
        <w:t>, a</w:t>
      </w:r>
      <w:r w:rsidRPr="004259D0">
        <w:rPr>
          <w:lang w:val="hr-HR"/>
        </w:rPr>
        <w:t xml:space="preserve"> koji iznosi 6,8%. Uspoređujući promjene u potrošnji kroz vrijeme do 2070. godine</w:t>
      </w:r>
      <w:r w:rsidR="00EC748D" w:rsidRPr="004259D0">
        <w:rPr>
          <w:lang w:val="hr-HR"/>
        </w:rPr>
        <w:t>,</w:t>
      </w:r>
      <w:r w:rsidRPr="004259D0">
        <w:rPr>
          <w:lang w:val="hr-HR"/>
        </w:rPr>
        <w:t xml:space="preserve"> udio planiranih troškova za zdravstvo u BDP-u na razini RH raste za 13%, što je jednako rastu na razini EU.</w:t>
      </w:r>
    </w:p>
    <w:p w14:paraId="65060399" w14:textId="2102A754" w:rsidR="00421579" w:rsidRPr="004259D0" w:rsidRDefault="00421579" w:rsidP="00421579">
      <w:pPr>
        <w:tabs>
          <w:tab w:val="left" w:pos="913"/>
        </w:tabs>
        <w:jc w:val="both"/>
        <w:rPr>
          <w:lang w:val="hr-HR"/>
        </w:rPr>
      </w:pPr>
      <w:r w:rsidRPr="004259D0">
        <w:rPr>
          <w:lang w:val="hr-HR"/>
        </w:rPr>
        <w:t xml:space="preserve">Ključni izazov u zdravstvenom sektoru RH je prilagodba pružanja zdravstvene zaštite </w:t>
      </w:r>
      <w:r w:rsidR="00C23262" w:rsidRPr="004259D0">
        <w:rPr>
          <w:lang w:val="hr-HR"/>
        </w:rPr>
        <w:t>u uvjetima ovako nepovoljnih demografskih trendova</w:t>
      </w:r>
      <w:r w:rsidRPr="004259D0">
        <w:rPr>
          <w:lang w:val="hr-HR"/>
        </w:rPr>
        <w:t>. U cilju održivosti zdravstvenog sustava teži se podizanju kvalitete zdravstvene zaštite, optimizaciji resursa te fin</w:t>
      </w:r>
      <w:r w:rsidR="00AE24C2" w:rsidRPr="004259D0">
        <w:rPr>
          <w:lang w:val="hr-HR"/>
        </w:rPr>
        <w:t xml:space="preserve">ancijskoj stabilnosti sustava. </w:t>
      </w:r>
      <w:r w:rsidRPr="004259D0">
        <w:rPr>
          <w:lang w:val="hr-HR"/>
        </w:rPr>
        <w:t xml:space="preserve">Isto se planira postići većom dostupnošću zdravstvenih usluga, smanjenjem </w:t>
      </w:r>
      <w:r w:rsidR="00136F04" w:rsidRPr="004259D0">
        <w:rPr>
          <w:lang w:val="hr-HR"/>
        </w:rPr>
        <w:t>višestrukog</w:t>
      </w:r>
      <w:r w:rsidRPr="004259D0">
        <w:rPr>
          <w:lang w:val="hr-HR"/>
        </w:rPr>
        <w:t xml:space="preserve"> naručivanja i </w:t>
      </w:r>
      <w:r w:rsidR="00136F04" w:rsidRPr="004259D0">
        <w:rPr>
          <w:lang w:val="hr-HR"/>
        </w:rPr>
        <w:t>medicinskih</w:t>
      </w:r>
      <w:r w:rsidRPr="004259D0">
        <w:rPr>
          <w:lang w:val="hr-HR"/>
        </w:rPr>
        <w:t xml:space="preserve"> postupaka, smanjenjem listi čekanja, objedinjenom nabavom lijekova</w:t>
      </w:r>
      <w:r w:rsidR="00136F04" w:rsidRPr="004259D0">
        <w:rPr>
          <w:lang w:val="hr-HR"/>
        </w:rPr>
        <w:t xml:space="preserve"> i medicinske opreme. Nadalje, teži se i</w:t>
      </w:r>
      <w:r w:rsidRPr="004259D0">
        <w:rPr>
          <w:lang w:val="hr-HR"/>
        </w:rPr>
        <w:t xml:space="preserve"> standardizacij</w:t>
      </w:r>
      <w:r w:rsidR="00136F04" w:rsidRPr="004259D0">
        <w:rPr>
          <w:lang w:val="hr-HR"/>
        </w:rPr>
        <w:t>i</w:t>
      </w:r>
      <w:r w:rsidRPr="004259D0">
        <w:rPr>
          <w:lang w:val="hr-HR"/>
        </w:rPr>
        <w:t xml:space="preserve"> i optimizacij</w:t>
      </w:r>
      <w:r w:rsidR="00136F04" w:rsidRPr="004259D0">
        <w:rPr>
          <w:lang w:val="hr-HR"/>
        </w:rPr>
        <w:t>i</w:t>
      </w:r>
      <w:r w:rsidRPr="004259D0">
        <w:rPr>
          <w:lang w:val="hr-HR"/>
        </w:rPr>
        <w:t xml:space="preserve"> kriterija i postupka dijagnostike, liječenja i praćenja pacijenata, kao i funkcionalnim spajanjem bolnica </w:t>
      </w:r>
      <w:r w:rsidR="00136F04" w:rsidRPr="004259D0">
        <w:rPr>
          <w:lang w:val="hr-HR"/>
        </w:rPr>
        <w:t xml:space="preserve">te </w:t>
      </w:r>
      <w:r w:rsidRPr="004259D0">
        <w:rPr>
          <w:lang w:val="hr-HR"/>
        </w:rPr>
        <w:t xml:space="preserve">formiranjem centara izvrsnosti u pojedinim bolnicama, </w:t>
      </w:r>
      <w:r w:rsidR="00136F04" w:rsidRPr="004259D0">
        <w:rPr>
          <w:lang w:val="hr-HR"/>
        </w:rPr>
        <w:t xml:space="preserve">kako </w:t>
      </w:r>
      <w:r w:rsidRPr="004259D0">
        <w:rPr>
          <w:lang w:val="hr-HR"/>
        </w:rPr>
        <w:t xml:space="preserve">na regionalnoj </w:t>
      </w:r>
      <w:r w:rsidR="00136F04" w:rsidRPr="004259D0">
        <w:rPr>
          <w:lang w:val="hr-HR"/>
        </w:rPr>
        <w:t xml:space="preserve">tako </w:t>
      </w:r>
      <w:r w:rsidRPr="004259D0">
        <w:rPr>
          <w:lang w:val="hr-HR"/>
        </w:rPr>
        <w:t xml:space="preserve">i </w:t>
      </w:r>
      <w:r w:rsidR="00136F04" w:rsidRPr="004259D0">
        <w:rPr>
          <w:lang w:val="hr-HR"/>
        </w:rPr>
        <w:t xml:space="preserve">na </w:t>
      </w:r>
      <w:r w:rsidRPr="004259D0">
        <w:rPr>
          <w:lang w:val="hr-HR"/>
        </w:rPr>
        <w:t xml:space="preserve">nacionalnoj razini. Cilj je unaprjeđenje primarne zdravstvene zaštite, poboljšanje pristupa specijalističko-konzilijarnoj zdravstvenoj zaštiti, dnevnoj bolnici te akutnim i kroničnim posteljama kao i palijativnoj skrbi. </w:t>
      </w:r>
      <w:r w:rsidR="00DA0A3D" w:rsidRPr="004259D0">
        <w:rPr>
          <w:lang w:val="hr-HR"/>
        </w:rPr>
        <w:t xml:space="preserve">Sve navedeno, definirano je i ključnim strateškim </w:t>
      </w:r>
      <w:r w:rsidRPr="004259D0">
        <w:rPr>
          <w:lang w:val="hr-HR"/>
        </w:rPr>
        <w:t>dokument</w:t>
      </w:r>
      <w:r w:rsidR="00DA0A3D" w:rsidRPr="004259D0">
        <w:rPr>
          <w:lang w:val="hr-HR"/>
        </w:rPr>
        <w:t>om</w:t>
      </w:r>
      <w:r w:rsidRPr="004259D0">
        <w:rPr>
          <w:lang w:val="hr-HR"/>
        </w:rPr>
        <w:t xml:space="preserve"> za razvoj zdravstvenog sustava u RH</w:t>
      </w:r>
      <w:r w:rsidR="00DA0A3D" w:rsidRPr="004259D0">
        <w:rPr>
          <w:lang w:val="hr-HR"/>
        </w:rPr>
        <w:t xml:space="preserve"> tj.</w:t>
      </w:r>
      <w:r w:rsidRPr="004259D0">
        <w:rPr>
          <w:lang w:val="hr-HR"/>
        </w:rPr>
        <w:t xml:space="preserve"> Nacionaln</w:t>
      </w:r>
      <w:r w:rsidR="00DA0A3D" w:rsidRPr="004259D0">
        <w:rPr>
          <w:lang w:val="hr-HR"/>
        </w:rPr>
        <w:t>om</w:t>
      </w:r>
      <w:r w:rsidRPr="004259D0">
        <w:rPr>
          <w:lang w:val="hr-HR"/>
        </w:rPr>
        <w:t xml:space="preserve"> strategij</w:t>
      </w:r>
      <w:r w:rsidR="00DA0A3D" w:rsidRPr="004259D0">
        <w:rPr>
          <w:lang w:val="hr-HR"/>
        </w:rPr>
        <w:t>om</w:t>
      </w:r>
      <w:r w:rsidRPr="004259D0">
        <w:rPr>
          <w:lang w:val="hr-HR"/>
        </w:rPr>
        <w:t xml:space="preserve"> razvoja zdravstva 2012. – 2020.</w:t>
      </w:r>
      <w:r w:rsidR="001944BA" w:rsidRPr="004259D0">
        <w:rPr>
          <w:rStyle w:val="FootnoteReference"/>
          <w:lang w:val="hr-HR"/>
        </w:rPr>
        <w:footnoteReference w:id="42"/>
      </w:r>
      <w:r w:rsidRPr="004259D0">
        <w:rPr>
          <w:lang w:val="hr-HR"/>
        </w:rPr>
        <w:t xml:space="preserve"> </w:t>
      </w:r>
      <w:r w:rsidR="00DA0A3D" w:rsidRPr="004259D0">
        <w:rPr>
          <w:lang w:val="hr-HR"/>
        </w:rPr>
        <w:t>te</w:t>
      </w:r>
      <w:r w:rsidRPr="004259D0">
        <w:rPr>
          <w:lang w:val="hr-HR"/>
        </w:rPr>
        <w:t xml:space="preserve"> Odluk</w:t>
      </w:r>
      <w:r w:rsidR="00DA0A3D" w:rsidRPr="004259D0">
        <w:rPr>
          <w:lang w:val="hr-HR"/>
        </w:rPr>
        <w:t xml:space="preserve">om </w:t>
      </w:r>
      <w:r w:rsidRPr="004259D0">
        <w:rPr>
          <w:lang w:val="hr-HR"/>
        </w:rPr>
        <w:t xml:space="preserve">o donošenju Nacionalnog plana razvoja kliničkih bolničkih centara, kliničkih bolnica, klinika i općih bolnica u </w:t>
      </w:r>
      <w:r w:rsidR="00F016AA" w:rsidRPr="004259D0">
        <w:rPr>
          <w:lang w:val="hr-HR"/>
        </w:rPr>
        <w:t>RH</w:t>
      </w:r>
      <w:r w:rsidRPr="004259D0">
        <w:rPr>
          <w:lang w:val="hr-HR"/>
        </w:rPr>
        <w:t xml:space="preserve"> za razdoblje 2018.</w:t>
      </w:r>
      <w:r w:rsidR="001944BA" w:rsidRPr="004259D0">
        <w:rPr>
          <w:lang w:val="hr-HR"/>
        </w:rPr>
        <w:t xml:space="preserve"> </w:t>
      </w:r>
      <w:r w:rsidRPr="004259D0">
        <w:rPr>
          <w:lang w:val="hr-HR"/>
        </w:rPr>
        <w:t>-</w:t>
      </w:r>
      <w:r w:rsidR="001944BA" w:rsidRPr="004259D0">
        <w:rPr>
          <w:lang w:val="hr-HR"/>
        </w:rPr>
        <w:t xml:space="preserve"> </w:t>
      </w:r>
      <w:r w:rsidRPr="004259D0">
        <w:rPr>
          <w:lang w:val="hr-HR"/>
        </w:rPr>
        <w:t>2020.</w:t>
      </w:r>
      <w:r w:rsidR="001944BA" w:rsidRPr="004259D0">
        <w:rPr>
          <w:rStyle w:val="FootnoteReference"/>
          <w:lang w:val="hr-HR"/>
        </w:rPr>
        <w:footnoteReference w:id="43"/>
      </w:r>
      <w:r w:rsidRPr="004259D0">
        <w:rPr>
          <w:lang w:val="hr-HR"/>
        </w:rPr>
        <w:t xml:space="preserve"> </w:t>
      </w:r>
    </w:p>
    <w:p w14:paraId="32C4FE91" w14:textId="22CE3E53" w:rsidR="00421579" w:rsidRPr="004259D0" w:rsidRDefault="00781D97" w:rsidP="00421579">
      <w:pPr>
        <w:tabs>
          <w:tab w:val="left" w:pos="913"/>
        </w:tabs>
        <w:jc w:val="both"/>
        <w:rPr>
          <w:lang w:val="hr-HR"/>
        </w:rPr>
      </w:pPr>
      <w:r w:rsidRPr="004259D0">
        <w:rPr>
          <w:lang w:val="hr-HR"/>
        </w:rPr>
        <w:t>U svrhu osiguranja financijske održivosti sustava, uključit će se što veći broj zdravstvenih ustanova u model objedinjene javne nabave i proširiti broj javno nabavnih kategorija. Ovim se osigurava bolja kontrola kroz središnje mjesto upravljanja zajedničkom javnom nabavom odnosno smanjenje rashoda i postizanje ušteda na godišnjoj razini.</w:t>
      </w:r>
    </w:p>
    <w:p w14:paraId="22096A6C" w14:textId="4E2B637C" w:rsidR="00473600" w:rsidRPr="004259D0" w:rsidRDefault="00473600" w:rsidP="00421579">
      <w:pPr>
        <w:tabs>
          <w:tab w:val="left" w:pos="913"/>
        </w:tabs>
        <w:jc w:val="both"/>
        <w:rPr>
          <w:lang w:val="hr-HR"/>
        </w:rPr>
      </w:pPr>
      <w:r w:rsidRPr="004259D0">
        <w:rPr>
          <w:lang w:val="hr-HR"/>
        </w:rPr>
        <w:t>U sustavu socijalne skrbi, tijekom siječnja 2018.</w:t>
      </w:r>
      <w:r w:rsidR="00F72A66" w:rsidRPr="004259D0">
        <w:rPr>
          <w:lang w:val="hr-HR"/>
        </w:rPr>
        <w:t xml:space="preserve"> godine</w:t>
      </w:r>
      <w:r w:rsidRPr="004259D0">
        <w:rPr>
          <w:lang w:val="hr-HR"/>
        </w:rPr>
        <w:t xml:space="preserve"> usvojen je Akcijski plan unapređenja sustava socijalnih naknada za razdoblje 2018. – 2020. te se u skladu s njim provodi niz projekata. Tako su prikupljeni i objedinjeni podaci o svim socijalnim naknadama i iznosima so</w:t>
      </w:r>
      <w:r w:rsidR="00F72A66" w:rsidRPr="004259D0">
        <w:rPr>
          <w:lang w:val="hr-HR"/>
        </w:rPr>
        <w:t>cijalnih naknada koje osigurava</w:t>
      </w:r>
      <w:r w:rsidRPr="004259D0">
        <w:rPr>
          <w:lang w:val="hr-HR"/>
        </w:rPr>
        <w:t xml:space="preserve">ju JLP(R)S. Tijekom 2019. </w:t>
      </w:r>
      <w:r w:rsidR="00F72A66" w:rsidRPr="004259D0">
        <w:rPr>
          <w:lang w:val="hr-HR"/>
        </w:rPr>
        <w:t xml:space="preserve">posebna pažnja usmjerit će se na </w:t>
      </w:r>
      <w:r w:rsidRPr="004259D0">
        <w:rPr>
          <w:lang w:val="hr-HR"/>
        </w:rPr>
        <w:t>kvalitetn</w:t>
      </w:r>
      <w:r w:rsidR="00F72A66" w:rsidRPr="004259D0">
        <w:rPr>
          <w:lang w:val="hr-HR"/>
        </w:rPr>
        <w:t>iju</w:t>
      </w:r>
      <w:r w:rsidRPr="004259D0">
        <w:rPr>
          <w:lang w:val="hr-HR"/>
        </w:rPr>
        <w:t xml:space="preserve"> razmjen</w:t>
      </w:r>
      <w:r w:rsidR="00F72A66" w:rsidRPr="004259D0">
        <w:rPr>
          <w:lang w:val="hr-HR"/>
        </w:rPr>
        <w:t>u</w:t>
      </w:r>
      <w:r w:rsidRPr="004259D0">
        <w:rPr>
          <w:lang w:val="hr-HR"/>
        </w:rPr>
        <w:t xml:space="preserve"> relevantnih podataka za svakog pojedinog korisnika. Također</w:t>
      </w:r>
      <w:r w:rsidR="00F72A66" w:rsidRPr="004259D0">
        <w:rPr>
          <w:lang w:val="hr-HR"/>
        </w:rPr>
        <w:t>,</w:t>
      </w:r>
      <w:r w:rsidRPr="004259D0">
        <w:rPr>
          <w:lang w:val="hr-HR"/>
        </w:rPr>
        <w:t xml:space="preserve"> planira</w:t>
      </w:r>
      <w:r w:rsidR="00F72A66" w:rsidRPr="004259D0">
        <w:rPr>
          <w:lang w:val="hr-HR"/>
        </w:rPr>
        <w:t xml:space="preserve"> se</w:t>
      </w:r>
      <w:r w:rsidRPr="004259D0">
        <w:rPr>
          <w:lang w:val="hr-HR"/>
        </w:rPr>
        <w:t xml:space="preserve"> građanima omogućiti podnošenje e-zahtjeva za doplatak za djecu, rodiljne i roditeljske naknade te osobnu invalidninu i doplatak za pomoć i njegu iz sustava socijalne skrbi. Valja spomenuti i izradu novog Zakona o socijalnoj skrbi s ciljem osiguranja adekvatnosti socijalnih naknada kao i bolje koordinacije i transparentnosti socijalnih naknada. Nadalje, planirana je i izrada regulatornog okvira kojim će se urediti metodologija za izračun cijena socijalnih usluga, koju će primjenjivati svi pružatelji u sustavu socijalne skrbi neovisno o pravnom statusu i/ili osnivaču.</w:t>
      </w:r>
    </w:p>
    <w:p w14:paraId="5E44653C" w14:textId="59749F50" w:rsidR="00473600" w:rsidRPr="004259D0" w:rsidRDefault="00473600" w:rsidP="00421579">
      <w:pPr>
        <w:tabs>
          <w:tab w:val="left" w:pos="913"/>
        </w:tabs>
        <w:jc w:val="both"/>
        <w:rPr>
          <w:lang w:val="hr-HR"/>
        </w:rPr>
      </w:pPr>
      <w:r w:rsidRPr="004259D0">
        <w:rPr>
          <w:lang w:val="hr-HR"/>
        </w:rPr>
        <w:t>Vezano uz dugotrajnu skrb, Radna skupina za starenje i održivost (AWG-EPC ) izradila je projekcije javne potrošnje za dugotrajnu skrb za razdoblje 2016. - 2070. temeljem usuglašene metodologije i dostupnih podataka. Prema Izvješću o starenju 2018., javna potrošnja u RH za dugotrajnu skrb u 2016. iznosila je 0,9% BDP-a dok je na razini EU iznosila 1,6% BDP-a. Predviđa se da će se do 2070. godine povećati na 1,2% BDP-a, dok će na razini EU iznositi 2,7% BDP-a.</w:t>
      </w:r>
    </w:p>
    <w:p w14:paraId="0794422C" w14:textId="77777777" w:rsidR="00421579" w:rsidRPr="004259D0" w:rsidRDefault="004D031B" w:rsidP="004D031B">
      <w:pPr>
        <w:spacing w:after="0" w:line="240" w:lineRule="auto"/>
        <w:jc w:val="both"/>
        <w:rPr>
          <w:i/>
          <w:lang w:val="hr-HR"/>
        </w:rPr>
      </w:pPr>
      <w:bookmarkStart w:id="49" w:name="_Toc481047615"/>
      <w:bookmarkStart w:id="50" w:name="_Toc6418653"/>
      <w:r w:rsidRPr="004259D0">
        <w:rPr>
          <w:i/>
          <w:lang w:val="hr-HR"/>
        </w:rPr>
        <w:t xml:space="preserve">Grafikon </w:t>
      </w:r>
      <w:r w:rsidRPr="004259D0">
        <w:rPr>
          <w:i/>
          <w:lang w:val="hr-HR"/>
        </w:rPr>
        <w:fldChar w:fldCharType="begin"/>
      </w:r>
      <w:r w:rsidRPr="004259D0">
        <w:rPr>
          <w:i/>
          <w:lang w:val="hr-HR"/>
        </w:rPr>
        <w:instrText xml:space="preserve"> STYLEREF 1 \s </w:instrText>
      </w:r>
      <w:r w:rsidRPr="004259D0">
        <w:rPr>
          <w:i/>
          <w:lang w:val="hr-HR"/>
        </w:rPr>
        <w:fldChar w:fldCharType="separate"/>
      </w:r>
      <w:r w:rsidR="00572AFD">
        <w:rPr>
          <w:i/>
          <w:noProof/>
          <w:lang w:val="hr-HR"/>
        </w:rPr>
        <w:t>5</w:t>
      </w:r>
      <w:r w:rsidRPr="004259D0">
        <w:rPr>
          <w:i/>
          <w:lang w:val="hr-HR"/>
        </w:rPr>
        <w:fldChar w:fldCharType="end"/>
      </w:r>
      <w:r w:rsidRPr="004259D0">
        <w:rPr>
          <w:i/>
          <w:lang w:val="hr-HR"/>
        </w:rPr>
        <w:t>.</w:t>
      </w:r>
      <w:r w:rsidRPr="004259D0">
        <w:rPr>
          <w:i/>
          <w:lang w:val="hr-HR"/>
        </w:rPr>
        <w:fldChar w:fldCharType="begin"/>
      </w:r>
      <w:r w:rsidRPr="004259D0">
        <w:rPr>
          <w:i/>
          <w:lang w:val="hr-HR"/>
        </w:rPr>
        <w:instrText xml:space="preserve"> SEQ Grafikon \* ARABIC \s 1 </w:instrText>
      </w:r>
      <w:r w:rsidRPr="004259D0">
        <w:rPr>
          <w:i/>
          <w:lang w:val="hr-HR"/>
        </w:rPr>
        <w:fldChar w:fldCharType="separate"/>
      </w:r>
      <w:r w:rsidR="00572AFD">
        <w:rPr>
          <w:i/>
          <w:noProof/>
          <w:lang w:val="hr-HR"/>
        </w:rPr>
        <w:t>6</w:t>
      </w:r>
      <w:r w:rsidRPr="004259D0">
        <w:rPr>
          <w:i/>
          <w:lang w:val="hr-HR"/>
        </w:rPr>
        <w:fldChar w:fldCharType="end"/>
      </w:r>
      <w:r w:rsidRPr="004259D0">
        <w:rPr>
          <w:i/>
          <w:lang w:val="hr-HR"/>
        </w:rPr>
        <w:t xml:space="preserve">. </w:t>
      </w:r>
      <w:r w:rsidR="00421579" w:rsidRPr="004259D0">
        <w:rPr>
          <w:i/>
          <w:lang w:val="hr-HR"/>
        </w:rPr>
        <w:t>Potrošnja za dugotrajnu skrb</w:t>
      </w:r>
      <w:r w:rsidR="007A1C0A" w:rsidRPr="004259D0">
        <w:rPr>
          <w:i/>
          <w:lang w:val="hr-HR"/>
        </w:rPr>
        <w:t xml:space="preserve"> (</w:t>
      </w:r>
      <w:r w:rsidR="00421579" w:rsidRPr="004259D0">
        <w:rPr>
          <w:i/>
          <w:lang w:val="hr-HR"/>
        </w:rPr>
        <w:t>% BDP-a</w:t>
      </w:r>
      <w:bookmarkEnd w:id="49"/>
      <w:r w:rsidR="007A1C0A" w:rsidRPr="004259D0">
        <w:rPr>
          <w:i/>
          <w:lang w:val="hr-HR"/>
        </w:rPr>
        <w:t>)</w:t>
      </w:r>
      <w:bookmarkEnd w:id="50"/>
    </w:p>
    <w:p w14:paraId="5DBB4DDA" w14:textId="77777777" w:rsidR="00421579" w:rsidRPr="004259D0" w:rsidRDefault="00A853F5" w:rsidP="00421579">
      <w:pPr>
        <w:tabs>
          <w:tab w:val="left" w:pos="913"/>
        </w:tabs>
        <w:spacing w:after="0"/>
        <w:jc w:val="both"/>
        <w:rPr>
          <w:lang w:val="hr-HR"/>
        </w:rPr>
      </w:pPr>
      <w:r w:rsidRPr="004259D0">
        <w:rPr>
          <w:noProof/>
          <w:lang w:val="hr-HR" w:eastAsia="hr-HR"/>
        </w:rPr>
        <w:drawing>
          <wp:inline distT="0" distB="0" distL="0" distR="0" wp14:anchorId="2A3BE036" wp14:editId="561535CF">
            <wp:extent cx="5760720" cy="261915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720" cy="2619156"/>
                    </a:xfrm>
                    <a:prstGeom prst="rect">
                      <a:avLst/>
                    </a:prstGeom>
                    <a:noFill/>
                    <a:ln>
                      <a:noFill/>
                    </a:ln>
                  </pic:spPr>
                </pic:pic>
              </a:graphicData>
            </a:graphic>
          </wp:inline>
        </w:drawing>
      </w:r>
    </w:p>
    <w:p w14:paraId="75A6830D" w14:textId="77777777" w:rsidR="00421579" w:rsidRPr="004259D0" w:rsidRDefault="00421579" w:rsidP="00421579">
      <w:pPr>
        <w:jc w:val="both"/>
        <w:rPr>
          <w:i/>
          <w:sz w:val="20"/>
          <w:lang w:val="hr-HR"/>
        </w:rPr>
      </w:pPr>
      <w:r w:rsidRPr="004259D0">
        <w:rPr>
          <w:i/>
          <w:sz w:val="20"/>
          <w:lang w:val="hr-HR"/>
        </w:rPr>
        <w:t xml:space="preserve">Izvor: </w:t>
      </w:r>
      <w:r w:rsidRPr="004259D0">
        <w:rPr>
          <w:rFonts w:cs="Arial"/>
          <w:i/>
          <w:sz w:val="20"/>
          <w:szCs w:val="20"/>
          <w:lang w:val="hr-HR"/>
        </w:rPr>
        <w:t>Europska komisija</w:t>
      </w:r>
    </w:p>
    <w:p w14:paraId="04C1510D" w14:textId="77777777" w:rsidR="00473600" w:rsidRPr="004259D0" w:rsidRDefault="00473600" w:rsidP="003228B1">
      <w:pPr>
        <w:tabs>
          <w:tab w:val="left" w:pos="913"/>
        </w:tabs>
        <w:jc w:val="both"/>
        <w:rPr>
          <w:lang w:val="hr-HR"/>
        </w:rPr>
      </w:pPr>
    </w:p>
    <w:p w14:paraId="32BEDDB1" w14:textId="77777777" w:rsidR="00F95608" w:rsidRPr="004259D0" w:rsidRDefault="00F95608" w:rsidP="00F95608">
      <w:pPr>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Održivost javnih financija - mirovinski sustav</w:t>
      </w:r>
    </w:p>
    <w:p w14:paraId="5F4B973B" w14:textId="77777777" w:rsidR="00342D6B" w:rsidRPr="004259D0" w:rsidRDefault="00342D6B" w:rsidP="00342D6B">
      <w:pPr>
        <w:jc w:val="both"/>
        <w:rPr>
          <w:lang w:val="hr-HR"/>
        </w:rPr>
      </w:pPr>
      <w:r w:rsidRPr="004259D0">
        <w:rPr>
          <w:lang w:val="hr-HR"/>
        </w:rPr>
        <w:t xml:space="preserve">Kao što je već prethodno spomenuto, očekivana životna dob se povećava, a uzevši u obzir nepovoljna očekivanja prirodnog prirasta te neto migracije, raste i udio starijih u ukupnoj populaciji, što negativno utječe na troškove u mirovinskom sustavu. </w:t>
      </w:r>
    </w:p>
    <w:p w14:paraId="71F59AA8" w14:textId="766BB651" w:rsidR="00342D6B" w:rsidRPr="004259D0" w:rsidRDefault="00342D6B" w:rsidP="00342D6B">
      <w:pPr>
        <w:jc w:val="both"/>
        <w:rPr>
          <w:lang w:val="hr-HR"/>
        </w:rPr>
      </w:pPr>
      <w:r w:rsidRPr="004259D0">
        <w:rPr>
          <w:lang w:val="hr-HR"/>
        </w:rPr>
        <w:t>Rezu</w:t>
      </w:r>
      <w:r w:rsidR="005D57B9" w:rsidRPr="004259D0">
        <w:rPr>
          <w:lang w:val="hr-HR"/>
        </w:rPr>
        <w:t>ltati dugoročnih projekcija za RH</w:t>
      </w:r>
      <w:r w:rsidRPr="004259D0">
        <w:rPr>
          <w:lang w:val="hr-HR"/>
        </w:rPr>
        <w:t xml:space="preserve"> za razdoblje 2016. - 2070. pokazuju kako bi se </w:t>
      </w:r>
      <w:r w:rsidR="00171E29" w:rsidRPr="004259D0">
        <w:rPr>
          <w:lang w:val="hr-HR"/>
        </w:rPr>
        <w:t>rashodi</w:t>
      </w:r>
      <w:r w:rsidRPr="004259D0">
        <w:rPr>
          <w:lang w:val="hr-HR"/>
        </w:rPr>
        <w:t xml:space="preserve"> za mirovine</w:t>
      </w:r>
      <w:r w:rsidR="00171E29" w:rsidRPr="004259D0">
        <w:rPr>
          <w:lang w:val="hr-HR"/>
        </w:rPr>
        <w:t xml:space="preserve"> iz prvog stupa</w:t>
      </w:r>
      <w:r w:rsidRPr="004259D0">
        <w:rPr>
          <w:lang w:val="hr-HR"/>
        </w:rPr>
        <w:t xml:space="preserve"> trebali smanjiti s 10,</w:t>
      </w:r>
      <w:r w:rsidR="0025147D" w:rsidRPr="004259D0">
        <w:rPr>
          <w:lang w:val="hr-HR"/>
        </w:rPr>
        <w:t>6</w:t>
      </w:r>
      <w:r w:rsidRPr="004259D0">
        <w:rPr>
          <w:lang w:val="hr-HR"/>
        </w:rPr>
        <w:t xml:space="preserve">% BDP-a u 2016. na 6,8% BDP-a u 2070. </w:t>
      </w:r>
      <w:r w:rsidR="005D57B9" w:rsidRPr="004259D0">
        <w:rPr>
          <w:lang w:val="hr-HR"/>
        </w:rPr>
        <w:t xml:space="preserve">godini. </w:t>
      </w:r>
      <w:r w:rsidRPr="004259D0">
        <w:rPr>
          <w:lang w:val="hr-HR"/>
        </w:rPr>
        <w:t xml:space="preserve">S obzirom da se u projiciranom razdoblju očekuje </w:t>
      </w:r>
      <w:r w:rsidR="00171E29" w:rsidRPr="004259D0">
        <w:rPr>
          <w:lang w:val="hr-HR"/>
        </w:rPr>
        <w:t xml:space="preserve">u prosjeku </w:t>
      </w:r>
      <w:r w:rsidRPr="004259D0">
        <w:rPr>
          <w:lang w:val="hr-HR"/>
        </w:rPr>
        <w:t xml:space="preserve">stabilan udio doprinosa za mirovinsko osiguranje </w:t>
      </w:r>
      <w:r w:rsidR="00F423D6" w:rsidRPr="004259D0">
        <w:rPr>
          <w:lang w:val="hr-HR"/>
        </w:rPr>
        <w:t xml:space="preserve">uplaćeni u prvi stup </w:t>
      </w:r>
      <w:r w:rsidRPr="004259D0">
        <w:rPr>
          <w:lang w:val="hr-HR"/>
        </w:rPr>
        <w:t>od oko 5,7</w:t>
      </w:r>
      <w:r w:rsidR="00171E29" w:rsidRPr="004259D0">
        <w:rPr>
          <w:lang w:val="hr-HR"/>
        </w:rPr>
        <w:t xml:space="preserve">% </w:t>
      </w:r>
      <w:r w:rsidRPr="004259D0">
        <w:rPr>
          <w:lang w:val="hr-HR"/>
        </w:rPr>
        <w:t>BDP-a, transferi iz državnog proračuna za pokrivanje manjka će se postupno smanjivati s trenutnih 4,</w:t>
      </w:r>
      <w:r w:rsidR="0025147D" w:rsidRPr="004259D0">
        <w:rPr>
          <w:lang w:val="hr-HR"/>
        </w:rPr>
        <w:t>8</w:t>
      </w:r>
      <w:r w:rsidRPr="004259D0">
        <w:rPr>
          <w:lang w:val="hr-HR"/>
        </w:rPr>
        <w:t>% na oko 1,2% BDP-a do 2070.</w:t>
      </w:r>
      <w:r w:rsidR="00C4204D" w:rsidRPr="004259D0">
        <w:rPr>
          <w:lang w:val="hr-HR"/>
        </w:rPr>
        <w:t xml:space="preserve"> godine.</w:t>
      </w:r>
      <w:r w:rsidRPr="004259D0">
        <w:rPr>
          <w:lang w:val="hr-HR"/>
        </w:rPr>
        <w:t xml:space="preserve"> </w:t>
      </w:r>
      <w:r w:rsidR="00171E29" w:rsidRPr="004259D0">
        <w:rPr>
          <w:lang w:val="hr-HR"/>
        </w:rPr>
        <w:t>Rashodi</w:t>
      </w:r>
      <w:r w:rsidRPr="004259D0">
        <w:rPr>
          <w:lang w:val="hr-HR"/>
        </w:rPr>
        <w:t xml:space="preserve"> za mirovine iz drugog stupa trebali bi se postupno povećati na 1,6% u 2070., što znači da bi ukupni </w:t>
      </w:r>
      <w:r w:rsidR="00171E29" w:rsidRPr="004259D0">
        <w:rPr>
          <w:lang w:val="hr-HR"/>
        </w:rPr>
        <w:t>rashodi</w:t>
      </w:r>
      <w:r w:rsidRPr="004259D0">
        <w:rPr>
          <w:lang w:val="hr-HR"/>
        </w:rPr>
        <w:t xml:space="preserve"> za mirovine </w:t>
      </w:r>
      <w:r w:rsidR="00F72A66" w:rsidRPr="004259D0">
        <w:rPr>
          <w:lang w:val="hr-HR"/>
        </w:rPr>
        <w:t xml:space="preserve">iz prvog i drugog stupa </w:t>
      </w:r>
      <w:r w:rsidRPr="004259D0">
        <w:rPr>
          <w:lang w:val="hr-HR"/>
        </w:rPr>
        <w:t xml:space="preserve">u 2070. </w:t>
      </w:r>
      <w:r w:rsidR="00800112" w:rsidRPr="004259D0">
        <w:rPr>
          <w:lang w:val="hr-HR"/>
        </w:rPr>
        <w:t xml:space="preserve">godini </w:t>
      </w:r>
      <w:r w:rsidRPr="004259D0">
        <w:rPr>
          <w:lang w:val="hr-HR"/>
        </w:rPr>
        <w:t>iznosili 8,4% BDP-a.</w:t>
      </w:r>
    </w:p>
    <w:p w14:paraId="5742B7AD" w14:textId="77777777" w:rsidR="00821428" w:rsidRPr="004259D0" w:rsidRDefault="00821428" w:rsidP="00821428">
      <w:pPr>
        <w:spacing w:after="0" w:line="240" w:lineRule="auto"/>
        <w:jc w:val="both"/>
        <w:rPr>
          <w:i/>
          <w:lang w:val="hr-HR"/>
        </w:rPr>
      </w:pPr>
      <w:bookmarkStart w:id="51" w:name="_Toc6418641"/>
      <w:r w:rsidRPr="004259D0">
        <w:rPr>
          <w:i/>
          <w:lang w:val="hr-HR"/>
        </w:rPr>
        <w:t xml:space="preserve">Tablica </w:t>
      </w:r>
      <w:r w:rsidRPr="004259D0">
        <w:rPr>
          <w:i/>
          <w:lang w:val="hr-HR"/>
        </w:rPr>
        <w:fldChar w:fldCharType="begin"/>
      </w:r>
      <w:r w:rsidRPr="004259D0">
        <w:rPr>
          <w:i/>
          <w:lang w:val="hr-HR"/>
        </w:rPr>
        <w:instrText xml:space="preserve"> STYLEREF 1 \s </w:instrText>
      </w:r>
      <w:r w:rsidRPr="004259D0">
        <w:rPr>
          <w:i/>
          <w:lang w:val="hr-HR"/>
        </w:rPr>
        <w:fldChar w:fldCharType="separate"/>
      </w:r>
      <w:r w:rsidR="00572AFD">
        <w:rPr>
          <w:i/>
          <w:noProof/>
          <w:lang w:val="hr-HR"/>
        </w:rPr>
        <w:t>5</w:t>
      </w:r>
      <w:r w:rsidRPr="004259D0">
        <w:rPr>
          <w:i/>
          <w:lang w:val="hr-HR"/>
        </w:rPr>
        <w:fldChar w:fldCharType="end"/>
      </w:r>
      <w:r w:rsidRPr="004259D0">
        <w:rPr>
          <w:i/>
          <w:lang w:val="hr-HR"/>
        </w:rPr>
        <w:t>.</w:t>
      </w:r>
      <w:r w:rsidRPr="004259D0">
        <w:rPr>
          <w:i/>
          <w:lang w:val="hr-HR"/>
        </w:rPr>
        <w:fldChar w:fldCharType="begin"/>
      </w:r>
      <w:r w:rsidRPr="004259D0">
        <w:rPr>
          <w:i/>
          <w:lang w:val="hr-HR"/>
        </w:rPr>
        <w:instrText xml:space="preserve"> SEQ Tablica \* ARABIC \s 1 </w:instrText>
      </w:r>
      <w:r w:rsidRPr="004259D0">
        <w:rPr>
          <w:i/>
          <w:lang w:val="hr-HR"/>
        </w:rPr>
        <w:fldChar w:fldCharType="separate"/>
      </w:r>
      <w:r w:rsidR="00572AFD">
        <w:rPr>
          <w:i/>
          <w:noProof/>
          <w:lang w:val="hr-HR"/>
        </w:rPr>
        <w:t>1</w:t>
      </w:r>
      <w:r w:rsidRPr="004259D0">
        <w:rPr>
          <w:i/>
          <w:lang w:val="hr-HR"/>
        </w:rPr>
        <w:fldChar w:fldCharType="end"/>
      </w:r>
      <w:r w:rsidRPr="004259D0">
        <w:rPr>
          <w:i/>
          <w:lang w:val="hr-HR"/>
        </w:rPr>
        <w:t>.</w:t>
      </w:r>
      <w:r w:rsidR="00621D85" w:rsidRPr="004259D0">
        <w:rPr>
          <w:i/>
          <w:lang w:val="hr-HR"/>
        </w:rPr>
        <w:t xml:space="preserve"> Rashodi za mirovine i mirovinski doprinosi u razdoblju 201</w:t>
      </w:r>
      <w:r w:rsidR="0024733B" w:rsidRPr="004259D0">
        <w:rPr>
          <w:i/>
          <w:lang w:val="hr-HR"/>
        </w:rPr>
        <w:t>6</w:t>
      </w:r>
      <w:r w:rsidR="00621D85" w:rsidRPr="004259D0">
        <w:rPr>
          <w:i/>
          <w:lang w:val="hr-HR"/>
        </w:rPr>
        <w:t>. - 20</w:t>
      </w:r>
      <w:r w:rsidR="00F8202C" w:rsidRPr="004259D0">
        <w:rPr>
          <w:i/>
          <w:lang w:val="hr-HR"/>
        </w:rPr>
        <w:t>7</w:t>
      </w:r>
      <w:r w:rsidR="00621D85" w:rsidRPr="004259D0">
        <w:rPr>
          <w:i/>
          <w:lang w:val="hr-HR"/>
        </w:rPr>
        <w:t>0. (% BDP-a)</w:t>
      </w:r>
      <w:bookmarkEnd w:id="51"/>
    </w:p>
    <w:p w14:paraId="358D5791" w14:textId="77777777" w:rsidR="00621D85" w:rsidRPr="004259D0" w:rsidRDefault="00421579" w:rsidP="0025147D">
      <w:pPr>
        <w:spacing w:after="0" w:line="240" w:lineRule="auto"/>
        <w:jc w:val="both"/>
        <w:rPr>
          <w:lang w:val="hr-HR"/>
        </w:rPr>
      </w:pPr>
      <w:r w:rsidRPr="004259D0">
        <w:rPr>
          <w:noProof/>
          <w:lang w:val="hr-HR" w:eastAsia="hr-HR"/>
        </w:rPr>
        <w:drawing>
          <wp:inline distT="0" distB="0" distL="0" distR="0" wp14:anchorId="06BE16E7" wp14:editId="45814115">
            <wp:extent cx="5760720" cy="1174115"/>
            <wp:effectExtent l="0" t="0" r="0" b="6985"/>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1174115"/>
                    </a:xfrm>
                    <a:prstGeom prst="rect">
                      <a:avLst/>
                    </a:prstGeom>
                    <a:noFill/>
                    <a:ln>
                      <a:noFill/>
                    </a:ln>
                  </pic:spPr>
                </pic:pic>
              </a:graphicData>
            </a:graphic>
          </wp:inline>
        </w:drawing>
      </w:r>
    </w:p>
    <w:p w14:paraId="0A6528DA" w14:textId="77777777" w:rsidR="00621D85" w:rsidRPr="004259D0" w:rsidRDefault="00621D85" w:rsidP="00621D85">
      <w:pPr>
        <w:jc w:val="both"/>
        <w:rPr>
          <w:i/>
          <w:sz w:val="20"/>
          <w:lang w:val="hr-HR"/>
        </w:rPr>
      </w:pPr>
      <w:r w:rsidRPr="004259D0">
        <w:rPr>
          <w:i/>
          <w:sz w:val="20"/>
          <w:lang w:val="hr-HR"/>
        </w:rPr>
        <w:t>Izvor: Ministarstvo rada i mirovinskog</w:t>
      </w:r>
      <w:r w:rsidR="005B2E3E" w:rsidRPr="004259D0">
        <w:rPr>
          <w:i/>
          <w:sz w:val="20"/>
          <w:lang w:val="hr-HR"/>
        </w:rPr>
        <w:t>a</w:t>
      </w:r>
      <w:r w:rsidRPr="004259D0">
        <w:rPr>
          <w:i/>
          <w:sz w:val="20"/>
          <w:lang w:val="hr-HR"/>
        </w:rPr>
        <w:t xml:space="preserve"> sustava</w:t>
      </w:r>
    </w:p>
    <w:p w14:paraId="429617D8" w14:textId="77777777" w:rsidR="00FB0A37" w:rsidRPr="004259D0" w:rsidRDefault="00FB0A37" w:rsidP="00FB0A37">
      <w:pPr>
        <w:jc w:val="both"/>
        <w:rPr>
          <w:lang w:val="hr-HR"/>
        </w:rPr>
      </w:pPr>
      <w:r w:rsidRPr="004259D0">
        <w:rPr>
          <w:lang w:val="hr-HR"/>
        </w:rPr>
        <w:t>Prema projekcijama EK iz Izvješća o starenju 2018, sljedećih nekoliko godina može se očekivati blagi porast ukupnog broja osiguranika, prvenstveno zbog očekivanog rasta zaposlenosti. U dugoročnom razdoblju će prevladati utjecaj nepovoljnijih demografskih kretanja i smanjenog broja stanovnika u mlađim dobnim skupinama, što će uzrokovati postupni pad ukupnog broja osiguranika.</w:t>
      </w:r>
    </w:p>
    <w:p w14:paraId="71AEA39A" w14:textId="4D023020" w:rsidR="00FB0A37" w:rsidRPr="004259D0" w:rsidRDefault="00FB0A37" w:rsidP="00FB0A37">
      <w:pPr>
        <w:jc w:val="both"/>
        <w:rPr>
          <w:rFonts w:cstheme="minorHAnsi"/>
          <w:lang w:val="hr-HR"/>
        </w:rPr>
      </w:pPr>
      <w:r w:rsidRPr="004259D0">
        <w:rPr>
          <w:lang w:val="hr-HR"/>
        </w:rPr>
        <w:t xml:space="preserve">S druge strane, postoje važni faktori koji će troškove mirovinskog sustava u budućnosti smanjivati. Naime, uvođenjem obveznog drugog mirovinskog stupa od 2027. godine nadalje većina novih umirovljenika primat će osnovnu mirovinu iz prvog i mirovinu iz drugog stupa. To znači da će se rashodi za mirovine isplaćene iz prvog stupa postupno sve više smanjivati. </w:t>
      </w:r>
      <w:r w:rsidRPr="004259D0">
        <w:rPr>
          <w:rFonts w:cstheme="minorHAnsi"/>
          <w:bCs/>
          <w:lang w:val="hr-HR"/>
        </w:rPr>
        <w:t>D</w:t>
      </w:r>
      <w:r w:rsidRPr="004259D0">
        <w:rPr>
          <w:rFonts w:cstheme="minorHAnsi"/>
          <w:lang w:val="hr-HR"/>
        </w:rPr>
        <w:t xml:space="preserve">o sada ostvarene mirovine osiguranika iz prvog i drugog mirovinskoga stupa su niže u odnosu na mirovine ostvarene samo iz prvog mirovinskoga stupa s dodatkom na mirovinu te je stoga zadnjom mirovinskom reformom, između ostalog, uveden </w:t>
      </w:r>
      <w:r w:rsidR="001C51BB" w:rsidRPr="004259D0">
        <w:rPr>
          <w:rFonts w:cstheme="minorHAnsi"/>
          <w:lang w:val="hr-HR"/>
        </w:rPr>
        <w:t xml:space="preserve">i </w:t>
      </w:r>
      <w:r w:rsidRPr="004259D0">
        <w:rPr>
          <w:rFonts w:cstheme="minorHAnsi"/>
          <w:lang w:val="hr-HR"/>
        </w:rPr>
        <w:t>dodatak na mirovinu osiguranicima prvog mirovinskog stupa koji su obvezno osigurani u drugom mirovinskom stupu. Na taj način će se smanjiti razlika u visini mirovine za korisnike iz oba obvezna mirovinska stupa u odnosu na mirovine ostvarene samo u prvom stupu i time utjecati na primjerenost njihovih mirovina.</w:t>
      </w:r>
    </w:p>
    <w:p w14:paraId="53C72CF3" w14:textId="26E4DEEC" w:rsidR="00FB0A37" w:rsidRPr="004259D0" w:rsidRDefault="00FB0A37" w:rsidP="00FB0A37">
      <w:pPr>
        <w:jc w:val="both"/>
        <w:rPr>
          <w:lang w:val="hr-HR"/>
        </w:rPr>
      </w:pPr>
      <w:r w:rsidRPr="004259D0">
        <w:rPr>
          <w:lang w:val="hr-HR"/>
        </w:rPr>
        <w:t>Ključna mjera za poboljšanje učinkovitosti mirovinskog sustava je poticanje dužeg ostanka u svijetu rada, što će se postići obeshrabrivanjem prijevremenog umirovljenja, ubrzanjem izjednačavanja dobi za odlazak u prijevremenu starosnu i starosnu mirovinu za žene i muškarce te nakon toga ubrzanje podizanja dobi na 67 godina za žene i muškarce. Navedena mjera smanjit će priljev novih umirovljenika.</w:t>
      </w:r>
    </w:p>
    <w:p w14:paraId="4B8A6722" w14:textId="77777777" w:rsidR="00421579" w:rsidRPr="004259D0" w:rsidRDefault="00421579" w:rsidP="00421579">
      <w:pPr>
        <w:jc w:val="both"/>
        <w:rPr>
          <w:lang w:val="hr-HR"/>
        </w:rPr>
      </w:pPr>
      <w:r w:rsidRPr="004259D0">
        <w:rPr>
          <w:lang w:val="hr-HR"/>
        </w:rPr>
        <w:t xml:space="preserve">U Tablici 5.2. nalaze se projicirane vrijednosti rashoda za pojedine vrste mirovina. Izdaci za starosne i prijevremene starosne mirovine neće se značajnije mijenjati do 2030. godine, nakon čega slijedi njihovo smanjivanje uslijed značajnijeg udjela isplata mirovina iz drugog mirovinskog stupa. </w:t>
      </w:r>
    </w:p>
    <w:p w14:paraId="70189F88" w14:textId="41D1A27B" w:rsidR="00421579" w:rsidRPr="004259D0" w:rsidRDefault="00421579" w:rsidP="00421579">
      <w:pPr>
        <w:jc w:val="both"/>
        <w:rPr>
          <w:lang w:val="hr-HR"/>
        </w:rPr>
      </w:pPr>
      <w:r w:rsidRPr="004259D0">
        <w:rPr>
          <w:lang w:val="hr-HR"/>
        </w:rPr>
        <w:t>Projicirano je znatno smanjenje broja korisnika invalidskih mirovina do 2070. godine, što je rezultat  strožih kriterija za ostvarivanje prava na invalidsku mirovinu. Veliki udio invalidskih mirovina posljedica je blažih kriterija za ostvarivanje invalidske mirovine u proteklom razdoblju, kao i relativno velikog broja invalidskih mirovina hrvatskih branitelja iz Domovinskog rata. Od 2015. godine invalidske mirovine se prevode u starosne mirovine kad korisnik doživi dob za odlazak u starosnu mirovinu, što je rezultiralo padom rashoda za invalidske mirovine i povećanjem rashoda za starosne mirovine u odnosu na prijašnje razdoblje. Udio rashoda za obiteljske mirovine će isto tako postupno padati, prvenstveno zbog demografskih trendova i povećanja stope zaposlenosti žena.</w:t>
      </w:r>
    </w:p>
    <w:p w14:paraId="7BAD1E63" w14:textId="77777777" w:rsidR="00621D85" w:rsidRPr="004259D0" w:rsidRDefault="00821428" w:rsidP="00821428">
      <w:pPr>
        <w:spacing w:after="0" w:line="240" w:lineRule="auto"/>
        <w:jc w:val="both"/>
        <w:rPr>
          <w:i/>
          <w:lang w:val="hr-HR"/>
        </w:rPr>
      </w:pPr>
      <w:bookmarkStart w:id="52" w:name="_Toc6418642"/>
      <w:r w:rsidRPr="004259D0">
        <w:rPr>
          <w:i/>
          <w:lang w:val="hr-HR"/>
        </w:rPr>
        <w:t xml:space="preserve">Tablica </w:t>
      </w:r>
      <w:r w:rsidRPr="004259D0">
        <w:rPr>
          <w:i/>
          <w:lang w:val="hr-HR"/>
        </w:rPr>
        <w:fldChar w:fldCharType="begin"/>
      </w:r>
      <w:r w:rsidRPr="004259D0">
        <w:rPr>
          <w:i/>
          <w:lang w:val="hr-HR"/>
        </w:rPr>
        <w:instrText xml:space="preserve"> STYLEREF 1 \s </w:instrText>
      </w:r>
      <w:r w:rsidRPr="004259D0">
        <w:rPr>
          <w:i/>
          <w:lang w:val="hr-HR"/>
        </w:rPr>
        <w:fldChar w:fldCharType="separate"/>
      </w:r>
      <w:r w:rsidR="00572AFD">
        <w:rPr>
          <w:i/>
          <w:noProof/>
          <w:lang w:val="hr-HR"/>
        </w:rPr>
        <w:t>5</w:t>
      </w:r>
      <w:r w:rsidRPr="004259D0">
        <w:rPr>
          <w:i/>
          <w:lang w:val="hr-HR"/>
        </w:rPr>
        <w:fldChar w:fldCharType="end"/>
      </w:r>
      <w:r w:rsidRPr="004259D0">
        <w:rPr>
          <w:i/>
          <w:lang w:val="hr-HR"/>
        </w:rPr>
        <w:t>.</w:t>
      </w:r>
      <w:r w:rsidRPr="004259D0">
        <w:rPr>
          <w:i/>
          <w:lang w:val="hr-HR"/>
        </w:rPr>
        <w:fldChar w:fldCharType="begin"/>
      </w:r>
      <w:r w:rsidRPr="004259D0">
        <w:rPr>
          <w:i/>
          <w:lang w:val="hr-HR"/>
        </w:rPr>
        <w:instrText xml:space="preserve"> SEQ Tablica \* ARABIC \s 1 </w:instrText>
      </w:r>
      <w:r w:rsidRPr="004259D0">
        <w:rPr>
          <w:i/>
          <w:lang w:val="hr-HR"/>
        </w:rPr>
        <w:fldChar w:fldCharType="separate"/>
      </w:r>
      <w:r w:rsidR="00572AFD">
        <w:rPr>
          <w:i/>
          <w:noProof/>
          <w:lang w:val="hr-HR"/>
        </w:rPr>
        <w:t>2</w:t>
      </w:r>
      <w:r w:rsidRPr="004259D0">
        <w:rPr>
          <w:i/>
          <w:lang w:val="hr-HR"/>
        </w:rPr>
        <w:fldChar w:fldCharType="end"/>
      </w:r>
      <w:r w:rsidRPr="004259D0">
        <w:rPr>
          <w:i/>
          <w:lang w:val="hr-HR"/>
        </w:rPr>
        <w:t>.</w:t>
      </w:r>
      <w:r w:rsidR="0025147D" w:rsidRPr="004259D0">
        <w:rPr>
          <w:i/>
          <w:lang w:val="hr-HR"/>
        </w:rPr>
        <w:t xml:space="preserve"> Rashodi prvog</w:t>
      </w:r>
      <w:r w:rsidR="00621D85" w:rsidRPr="004259D0">
        <w:rPr>
          <w:i/>
          <w:lang w:val="hr-HR"/>
        </w:rPr>
        <w:t xml:space="preserve"> mirovinskog stupa u razdoblju 201</w:t>
      </w:r>
      <w:r w:rsidR="0024733B" w:rsidRPr="004259D0">
        <w:rPr>
          <w:i/>
          <w:lang w:val="hr-HR"/>
        </w:rPr>
        <w:t>6</w:t>
      </w:r>
      <w:r w:rsidR="00621D85" w:rsidRPr="004259D0">
        <w:rPr>
          <w:i/>
          <w:lang w:val="hr-HR"/>
        </w:rPr>
        <w:t>. - 20</w:t>
      </w:r>
      <w:r w:rsidR="00EC0DE9" w:rsidRPr="004259D0">
        <w:rPr>
          <w:i/>
          <w:lang w:val="hr-HR"/>
        </w:rPr>
        <w:t>7</w:t>
      </w:r>
      <w:r w:rsidR="00621D85" w:rsidRPr="004259D0">
        <w:rPr>
          <w:i/>
          <w:lang w:val="hr-HR"/>
        </w:rPr>
        <w:t>0. (% BDP-a)</w:t>
      </w:r>
      <w:bookmarkEnd w:id="52"/>
    </w:p>
    <w:p w14:paraId="3B73B114" w14:textId="77777777" w:rsidR="00421579" w:rsidRPr="004259D0" w:rsidRDefault="00421579" w:rsidP="00421579">
      <w:pPr>
        <w:spacing w:after="0"/>
        <w:jc w:val="both"/>
        <w:rPr>
          <w:lang w:val="hr-HR"/>
        </w:rPr>
      </w:pPr>
      <w:r w:rsidRPr="004259D0">
        <w:rPr>
          <w:noProof/>
          <w:lang w:val="hr-HR" w:eastAsia="hr-HR"/>
        </w:rPr>
        <w:drawing>
          <wp:inline distT="0" distB="0" distL="0" distR="0" wp14:anchorId="0AAAA011" wp14:editId="4ECB730F">
            <wp:extent cx="5760720" cy="779145"/>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779145"/>
                    </a:xfrm>
                    <a:prstGeom prst="rect">
                      <a:avLst/>
                    </a:prstGeom>
                    <a:noFill/>
                    <a:ln>
                      <a:noFill/>
                    </a:ln>
                  </pic:spPr>
                </pic:pic>
              </a:graphicData>
            </a:graphic>
          </wp:inline>
        </w:drawing>
      </w:r>
    </w:p>
    <w:p w14:paraId="605D2282" w14:textId="77777777" w:rsidR="00621D85" w:rsidRPr="004259D0" w:rsidRDefault="00621D85" w:rsidP="004D031B">
      <w:pPr>
        <w:jc w:val="both"/>
        <w:rPr>
          <w:lang w:val="hr-HR"/>
        </w:rPr>
      </w:pPr>
      <w:r w:rsidRPr="004259D0">
        <w:rPr>
          <w:i/>
          <w:sz w:val="20"/>
          <w:lang w:val="hr-HR"/>
        </w:rPr>
        <w:t>Izvor: Ministarstvo rada i mirovinskog</w:t>
      </w:r>
      <w:r w:rsidR="005B2E3E" w:rsidRPr="004259D0">
        <w:rPr>
          <w:i/>
          <w:sz w:val="20"/>
          <w:lang w:val="hr-HR"/>
        </w:rPr>
        <w:t>a</w:t>
      </w:r>
      <w:r w:rsidRPr="004259D0">
        <w:rPr>
          <w:i/>
          <w:sz w:val="20"/>
          <w:lang w:val="hr-HR"/>
        </w:rPr>
        <w:t xml:space="preserve"> sustava</w:t>
      </w:r>
    </w:p>
    <w:p w14:paraId="7001B1AF" w14:textId="203D6550" w:rsidR="00421579" w:rsidRPr="004259D0" w:rsidRDefault="00421579" w:rsidP="004D031B">
      <w:pPr>
        <w:jc w:val="both"/>
        <w:rPr>
          <w:lang w:val="hr-HR"/>
        </w:rPr>
      </w:pPr>
      <w:r w:rsidRPr="004259D0">
        <w:rPr>
          <w:lang w:val="hr-HR"/>
        </w:rPr>
        <w:t>Važno je napomenuti da u prikazanim projekcijama prihoda i rashoda mirovinskog sustava nisu obuhvaćene izmjene zakonskih propisa koje su st</w:t>
      </w:r>
      <w:r w:rsidR="004C6428" w:rsidRPr="004259D0">
        <w:rPr>
          <w:lang w:val="hr-HR"/>
        </w:rPr>
        <w:t>upile na snagu 1. siječnja 2019</w:t>
      </w:r>
      <w:r w:rsidRPr="004259D0">
        <w:rPr>
          <w:lang w:val="hr-HR"/>
        </w:rPr>
        <w:t xml:space="preserve">. </w:t>
      </w:r>
    </w:p>
    <w:p w14:paraId="0C0A8C53" w14:textId="381A7236" w:rsidR="00421579" w:rsidRPr="004259D0" w:rsidRDefault="00421579" w:rsidP="00421579">
      <w:pPr>
        <w:jc w:val="both"/>
        <w:rPr>
          <w:lang w:val="hr-HR"/>
        </w:rPr>
      </w:pPr>
      <w:r w:rsidRPr="004259D0">
        <w:rPr>
          <w:lang w:val="hr-HR"/>
        </w:rPr>
        <w:t xml:space="preserve">Dok je prema propisima koji su važili do 2018. bio projiciran pad rashoda za mirovine prvog mirovinskog stupa, mjere </w:t>
      </w:r>
      <w:r w:rsidR="00AA172D" w:rsidRPr="004259D0">
        <w:rPr>
          <w:lang w:val="hr-HR"/>
        </w:rPr>
        <w:t xml:space="preserve">iz najnovije mirovinske reforme opisane u Nacionalnom programu reformi za 2019., </w:t>
      </w:r>
      <w:r w:rsidRPr="004259D0">
        <w:rPr>
          <w:lang w:val="hr-HR"/>
        </w:rPr>
        <w:t xml:space="preserve">će povećati primjerenost mirovina te u skladu s tim rashode za mirovine u </w:t>
      </w:r>
      <w:r w:rsidR="00AA172D" w:rsidRPr="004259D0">
        <w:rPr>
          <w:lang w:val="hr-HR"/>
        </w:rPr>
        <w:t>prvom</w:t>
      </w:r>
      <w:r w:rsidRPr="004259D0">
        <w:rPr>
          <w:lang w:val="hr-HR"/>
        </w:rPr>
        <w:t xml:space="preserve"> stupu. Rast rashoda za mirovine posljedica je uvođenja dodatka na mirovine za osiguranike </w:t>
      </w:r>
      <w:r w:rsidR="00AA172D" w:rsidRPr="004259D0">
        <w:rPr>
          <w:lang w:val="hr-HR"/>
        </w:rPr>
        <w:t>drugog</w:t>
      </w:r>
      <w:r w:rsidRPr="004259D0">
        <w:rPr>
          <w:lang w:val="hr-HR"/>
        </w:rPr>
        <w:t xml:space="preserve"> stupa koji prigodom umirovljenja odluče ostvariti mirovinu iz oba stupa. </w:t>
      </w:r>
    </w:p>
    <w:p w14:paraId="0BB60879" w14:textId="5C223FD4" w:rsidR="00421579" w:rsidRPr="004259D0" w:rsidRDefault="00421579" w:rsidP="00421579">
      <w:pPr>
        <w:jc w:val="both"/>
        <w:rPr>
          <w:lang w:val="hr-HR"/>
        </w:rPr>
      </w:pPr>
      <w:r w:rsidRPr="004259D0">
        <w:rPr>
          <w:lang w:val="hr-HR"/>
        </w:rPr>
        <w:t xml:space="preserve">S tim u vezi će se nastaviti dugoročno smanjivati udio rashoda za mirovine u BDP-u, ali će intenzitet smanjivanja biti manji nego prema propisima koji su važili do 2018. </w:t>
      </w:r>
      <w:r w:rsidR="00AA172D" w:rsidRPr="004259D0">
        <w:rPr>
          <w:lang w:val="hr-HR"/>
        </w:rPr>
        <w:t xml:space="preserve">godine. </w:t>
      </w:r>
      <w:r w:rsidRPr="004259D0">
        <w:rPr>
          <w:lang w:val="hr-HR"/>
        </w:rPr>
        <w:t xml:space="preserve">U odnosu na projekcije iz 2018. godine pokazane u </w:t>
      </w:r>
      <w:r w:rsidR="0084211F" w:rsidRPr="004259D0">
        <w:rPr>
          <w:lang w:val="hr-HR"/>
        </w:rPr>
        <w:t>T</w:t>
      </w:r>
      <w:r w:rsidRPr="004259D0">
        <w:rPr>
          <w:lang w:val="hr-HR"/>
        </w:rPr>
        <w:t xml:space="preserve">ablicama 5.1. i 5.2., godišnji rashodi za mirovine u </w:t>
      </w:r>
      <w:r w:rsidR="00AA172D" w:rsidRPr="004259D0">
        <w:rPr>
          <w:lang w:val="hr-HR"/>
        </w:rPr>
        <w:t>prvom</w:t>
      </w:r>
      <w:r w:rsidRPr="004259D0">
        <w:rPr>
          <w:lang w:val="hr-HR"/>
        </w:rPr>
        <w:t xml:space="preserve"> stupu povećat će se za približno 0,1% BDP-a godišnje do 2025. godine, približno z</w:t>
      </w:r>
      <w:r w:rsidR="0084211F" w:rsidRPr="004259D0">
        <w:rPr>
          <w:lang w:val="hr-HR"/>
        </w:rPr>
        <w:t>a 0,2% BDP-a u 2030.</w:t>
      </w:r>
      <w:r w:rsidRPr="004259D0">
        <w:rPr>
          <w:lang w:val="hr-HR"/>
        </w:rPr>
        <w:t xml:space="preserve"> te približno za 0,9% BDP-a u 2040., dok će rast rashoda za mirovine iz </w:t>
      </w:r>
      <w:r w:rsidR="00AA172D" w:rsidRPr="004259D0">
        <w:rPr>
          <w:lang w:val="hr-HR"/>
        </w:rPr>
        <w:t>drugog</w:t>
      </w:r>
      <w:r w:rsidRPr="004259D0">
        <w:rPr>
          <w:lang w:val="hr-HR"/>
        </w:rPr>
        <w:t xml:space="preserve"> stupa biti nešto manji od projiciranog u 2018. godini. </w:t>
      </w:r>
    </w:p>
    <w:p w14:paraId="616FC5E6" w14:textId="3D44DFCA" w:rsidR="00421579" w:rsidRPr="004259D0" w:rsidRDefault="002F09F8" w:rsidP="00421579">
      <w:pPr>
        <w:jc w:val="both"/>
        <w:rPr>
          <w:lang w:val="hr-HR"/>
        </w:rPr>
      </w:pPr>
      <w:r w:rsidRPr="004259D0">
        <w:rPr>
          <w:lang w:val="hr-HR"/>
        </w:rPr>
        <w:t>Istodobno će se</w:t>
      </w:r>
      <w:r w:rsidR="00421579" w:rsidRPr="004259D0">
        <w:rPr>
          <w:lang w:val="hr-HR"/>
        </w:rPr>
        <w:t xml:space="preserve"> povećati prihodi državnog proračuna po osnovi pozitivn</w:t>
      </w:r>
      <w:r w:rsidR="00462DD9" w:rsidRPr="004259D0">
        <w:rPr>
          <w:lang w:val="hr-HR"/>
        </w:rPr>
        <w:t>ih učinaka mjera</w:t>
      </w:r>
      <w:r w:rsidR="00AA172D" w:rsidRPr="004259D0">
        <w:rPr>
          <w:lang w:val="hr-HR"/>
        </w:rPr>
        <w:t xml:space="preserve"> iz mirovinske reforme </w:t>
      </w:r>
      <w:r w:rsidR="00421579" w:rsidRPr="004259D0">
        <w:rPr>
          <w:lang w:val="hr-HR"/>
        </w:rPr>
        <w:t xml:space="preserve">te prijenosa kapitaliziranih doprinosa iz </w:t>
      </w:r>
      <w:r w:rsidR="00AA172D" w:rsidRPr="004259D0">
        <w:rPr>
          <w:lang w:val="hr-HR"/>
        </w:rPr>
        <w:t>drugog</w:t>
      </w:r>
      <w:r w:rsidR="00421579" w:rsidRPr="004259D0">
        <w:rPr>
          <w:lang w:val="hr-HR"/>
        </w:rPr>
        <w:t xml:space="preserve"> u </w:t>
      </w:r>
      <w:r w:rsidR="00AA172D" w:rsidRPr="004259D0">
        <w:rPr>
          <w:lang w:val="hr-HR"/>
        </w:rPr>
        <w:t>prvi</w:t>
      </w:r>
      <w:r w:rsidR="00421579" w:rsidRPr="004259D0">
        <w:rPr>
          <w:lang w:val="hr-HR"/>
        </w:rPr>
        <w:t xml:space="preserve"> stup za osiguranike koji prigodom umirovljenja odluče ostvariti mirovinu samo iz </w:t>
      </w:r>
      <w:r w:rsidR="00AA172D" w:rsidRPr="004259D0">
        <w:rPr>
          <w:lang w:val="hr-HR"/>
        </w:rPr>
        <w:t>prvog</w:t>
      </w:r>
      <w:r w:rsidR="00421579" w:rsidRPr="004259D0">
        <w:rPr>
          <w:lang w:val="hr-HR"/>
        </w:rPr>
        <w:t xml:space="preserve"> stupa. U odnosu na projekcije iz 2018., prihodi državnog proračuna bi postupno rasli za približno 0,7% BDP-a u 2030., nakon čega bi se povećani prihodi blago smanjivali i iznosili približno 0,6% BDP-a u 2040. godini.</w:t>
      </w:r>
    </w:p>
    <w:p w14:paraId="1807EE63" w14:textId="4BD35E3F" w:rsidR="00421579" w:rsidRPr="004259D0" w:rsidRDefault="00421579" w:rsidP="00421579">
      <w:pPr>
        <w:jc w:val="both"/>
        <w:rPr>
          <w:i/>
          <w:lang w:val="hr-HR"/>
        </w:rPr>
      </w:pPr>
      <w:r w:rsidRPr="004259D0">
        <w:rPr>
          <w:lang w:val="hr-HR"/>
        </w:rPr>
        <w:t>Ažurirane projekcije dugoročne održivosti mirovinskog sustava</w:t>
      </w:r>
      <w:r w:rsidR="002140C3" w:rsidRPr="004259D0">
        <w:rPr>
          <w:lang w:val="hr-HR"/>
        </w:rPr>
        <w:t xml:space="preserve"> uzvši u obzir učinke spomenute recentne mirovinske reforme</w:t>
      </w:r>
      <w:r w:rsidRPr="004259D0">
        <w:rPr>
          <w:lang w:val="hr-HR"/>
        </w:rPr>
        <w:t xml:space="preserve">, </w:t>
      </w:r>
      <w:r w:rsidR="002140C3" w:rsidRPr="004259D0">
        <w:rPr>
          <w:lang w:val="hr-HR"/>
        </w:rPr>
        <w:t xml:space="preserve">a </w:t>
      </w:r>
      <w:r w:rsidRPr="004259D0">
        <w:rPr>
          <w:lang w:val="hr-HR"/>
        </w:rPr>
        <w:t xml:space="preserve">sukladno metodologiji </w:t>
      </w:r>
      <w:r w:rsidR="002140C3" w:rsidRPr="004259D0">
        <w:rPr>
          <w:lang w:val="hr-HR"/>
        </w:rPr>
        <w:t>Izvješća</w:t>
      </w:r>
      <w:r w:rsidRPr="004259D0">
        <w:rPr>
          <w:lang w:val="hr-HR"/>
        </w:rPr>
        <w:t xml:space="preserve"> o starenju, izradit će se sredinom 2019. godine.</w:t>
      </w:r>
    </w:p>
    <w:p w14:paraId="0350F9AD" w14:textId="77777777" w:rsidR="00421579" w:rsidRPr="004259D0" w:rsidRDefault="00421579" w:rsidP="00F95608">
      <w:pPr>
        <w:rPr>
          <w:lang w:val="hr-HR"/>
        </w:rPr>
      </w:pPr>
    </w:p>
    <w:p w14:paraId="54870DAE" w14:textId="77777777" w:rsidR="000A2F80" w:rsidRPr="004259D0" w:rsidRDefault="000A2F80" w:rsidP="00236982">
      <w:pPr>
        <w:rPr>
          <w:lang w:val="hr-HR"/>
        </w:rPr>
      </w:pPr>
      <w:r w:rsidRPr="004259D0">
        <w:rPr>
          <w:lang w:val="hr-HR"/>
        </w:rPr>
        <w:br w:type="page"/>
      </w:r>
    </w:p>
    <w:p w14:paraId="5C24B004" w14:textId="77777777" w:rsidR="00396242" w:rsidRPr="004259D0" w:rsidRDefault="00396242" w:rsidP="008160DF">
      <w:pPr>
        <w:pStyle w:val="Heading1"/>
        <w:numPr>
          <w:ilvl w:val="0"/>
          <w:numId w:val="1"/>
        </w:numPr>
        <w:rPr>
          <w:sz w:val="32"/>
          <w:lang w:val="hr-HR"/>
        </w:rPr>
      </w:pPr>
      <w:bookmarkStart w:id="53" w:name="_Toc6418627"/>
      <w:r w:rsidRPr="004259D0">
        <w:rPr>
          <w:sz w:val="32"/>
          <w:lang w:val="hr-HR"/>
        </w:rPr>
        <w:t>KVALITETA JAVNIH FINANCIJA</w:t>
      </w:r>
      <w:bookmarkEnd w:id="53"/>
    </w:p>
    <w:p w14:paraId="06817833" w14:textId="77777777" w:rsidR="0080623C" w:rsidRPr="004259D0" w:rsidRDefault="0080623C" w:rsidP="0080623C">
      <w:pPr>
        <w:rPr>
          <w:lang w:val="hr-HR"/>
        </w:rPr>
      </w:pPr>
    </w:p>
    <w:p w14:paraId="2FED01D6" w14:textId="77777777" w:rsidR="00B35EE5" w:rsidRPr="004259D0" w:rsidRDefault="00B35EE5" w:rsidP="008160DF">
      <w:pPr>
        <w:pStyle w:val="Heading2"/>
        <w:numPr>
          <w:ilvl w:val="1"/>
          <w:numId w:val="1"/>
        </w:numPr>
        <w:rPr>
          <w:lang w:val="hr-HR"/>
        </w:rPr>
      </w:pPr>
      <w:bookmarkStart w:id="54" w:name="_Toc6418628"/>
      <w:r w:rsidRPr="004259D0">
        <w:rPr>
          <w:lang w:val="hr-HR"/>
        </w:rPr>
        <w:t>Strateški okvir</w:t>
      </w:r>
      <w:bookmarkEnd w:id="54"/>
    </w:p>
    <w:p w14:paraId="326C4942" w14:textId="77777777" w:rsidR="001175DE" w:rsidRPr="004259D0" w:rsidRDefault="001175DE" w:rsidP="001175DE">
      <w:pPr>
        <w:rPr>
          <w:lang w:val="hr-HR"/>
        </w:rPr>
      </w:pPr>
    </w:p>
    <w:p w14:paraId="7F432CA2" w14:textId="77777777" w:rsidR="00E730F5" w:rsidRPr="004259D0" w:rsidRDefault="00E730F5" w:rsidP="00E730F5">
      <w:pPr>
        <w:pStyle w:val="Default"/>
        <w:spacing w:before="240" w:line="276" w:lineRule="auto"/>
        <w:jc w:val="both"/>
        <w:rPr>
          <w:rFonts w:asciiTheme="minorHAnsi" w:hAnsiTheme="minorHAnsi"/>
          <w:sz w:val="22"/>
          <w:szCs w:val="22"/>
        </w:rPr>
      </w:pPr>
      <w:r w:rsidRPr="004259D0">
        <w:rPr>
          <w:rFonts w:asciiTheme="minorHAnsi" w:hAnsiTheme="minorHAnsi"/>
          <w:sz w:val="22"/>
          <w:szCs w:val="22"/>
        </w:rPr>
        <w:t>U narednom srednjoročnom razdoblju planira se nastavak reformskih napora u svrhu jačanja fiskalne održivosti i stvaranja temelja za ekonomski rast. U tom smislu, Vlada RH će biti usmjerena na oblikovanje fiskalne politike u cilju promicanja konkurentnosti gospodarstva, povećanja učinkovitosti javnog sektora odnosno jačanja upravljanja javnim financijama kako na prihodnoj tako i na rashodnoj strani proračuna.</w:t>
      </w:r>
    </w:p>
    <w:p w14:paraId="4F1443E1" w14:textId="77777777" w:rsidR="00D12C95" w:rsidRPr="004259D0" w:rsidRDefault="00D12C95" w:rsidP="00BD67DA">
      <w:pPr>
        <w:jc w:val="both"/>
        <w:rPr>
          <w:lang w:val="hr-HR"/>
        </w:rPr>
      </w:pPr>
    </w:p>
    <w:p w14:paraId="577CE07C" w14:textId="77777777" w:rsidR="00E0472E" w:rsidRPr="004259D0" w:rsidRDefault="00E0472E" w:rsidP="00BD67DA">
      <w:pPr>
        <w:jc w:val="both"/>
        <w:rPr>
          <w:lang w:val="hr-HR"/>
        </w:rPr>
      </w:pPr>
    </w:p>
    <w:p w14:paraId="6CBCD567" w14:textId="77777777" w:rsidR="00BD67DA" w:rsidRPr="004259D0" w:rsidRDefault="00BD67DA" w:rsidP="008160DF">
      <w:pPr>
        <w:pStyle w:val="Heading2"/>
        <w:numPr>
          <w:ilvl w:val="1"/>
          <w:numId w:val="1"/>
        </w:numPr>
        <w:rPr>
          <w:lang w:val="hr-HR"/>
        </w:rPr>
      </w:pPr>
      <w:bookmarkStart w:id="55" w:name="_Toc6418629"/>
      <w:r w:rsidRPr="004259D0">
        <w:rPr>
          <w:lang w:val="hr-HR"/>
        </w:rPr>
        <w:t>Mjere na prihodnoj strani proračuna</w:t>
      </w:r>
      <w:bookmarkEnd w:id="55"/>
    </w:p>
    <w:p w14:paraId="2353C0E3" w14:textId="77777777" w:rsidR="001175DE" w:rsidRPr="004259D0" w:rsidRDefault="001175DE" w:rsidP="001175DE">
      <w:pPr>
        <w:rPr>
          <w:lang w:val="hr-HR"/>
        </w:rPr>
      </w:pPr>
    </w:p>
    <w:p w14:paraId="5F1B90AA" w14:textId="4B02BAB9" w:rsidR="00BB6C59" w:rsidRPr="004259D0" w:rsidRDefault="00BB6C59" w:rsidP="00BB6C59">
      <w:pPr>
        <w:spacing w:before="240" w:after="0"/>
        <w:jc w:val="both"/>
        <w:rPr>
          <w:rFonts w:cstheme="minorHAnsi"/>
          <w:bCs/>
          <w:lang w:val="hr-HR"/>
        </w:rPr>
      </w:pPr>
      <w:r w:rsidRPr="004259D0">
        <w:rPr>
          <w:rFonts w:cstheme="minorHAnsi"/>
          <w:lang w:val="hr-HR"/>
        </w:rPr>
        <w:t xml:space="preserve">U razdoblju 2019. – 2022. posebna pozornost posvetit će se pravednom i učinkovitom prikupljanju javnih prihoda, suradnji i partnerstvu </w:t>
      </w:r>
      <w:r w:rsidR="002B209F" w:rsidRPr="004259D0">
        <w:rPr>
          <w:rFonts w:cstheme="minorHAnsi"/>
          <w:lang w:val="hr-HR"/>
        </w:rPr>
        <w:t xml:space="preserve">Porezne uprave RH s </w:t>
      </w:r>
      <w:r w:rsidRPr="004259D0">
        <w:rPr>
          <w:rFonts w:cstheme="minorHAnsi"/>
          <w:lang w:val="hr-HR"/>
        </w:rPr>
        <w:t xml:space="preserve">građanima i poduzetnicima te stvaranju uvjeta za daljnje porezno rasterećenje. </w:t>
      </w:r>
      <w:r w:rsidRPr="004259D0">
        <w:rPr>
          <w:rFonts w:cstheme="minorHAnsi"/>
          <w:bCs/>
          <w:lang w:val="hr-HR"/>
        </w:rPr>
        <w:t xml:space="preserve">Tako su i promjene zakona i pravilnika </w:t>
      </w:r>
      <w:r w:rsidRPr="004259D0">
        <w:rPr>
          <w:rFonts w:cstheme="minorHAnsi"/>
          <w:lang w:val="hr-HR"/>
        </w:rPr>
        <w:t>na temelju sveobuhvatne analize poreznog sustava</w:t>
      </w:r>
      <w:r w:rsidRPr="004259D0">
        <w:rPr>
          <w:rFonts w:cstheme="minorHAnsi"/>
          <w:bCs/>
          <w:lang w:val="hr-HR"/>
        </w:rPr>
        <w:t xml:space="preserve"> usmjerene ka smanjenju ukupnog poreznog opterećenja te jednostavnijem i socijalno pravednijem porezno</w:t>
      </w:r>
      <w:r w:rsidR="002B209F" w:rsidRPr="004259D0">
        <w:rPr>
          <w:rFonts w:cstheme="minorHAnsi"/>
          <w:bCs/>
          <w:lang w:val="hr-HR"/>
        </w:rPr>
        <w:t xml:space="preserve">m sustavu za porezne obveznike tj. </w:t>
      </w:r>
      <w:r w:rsidRPr="004259D0">
        <w:rPr>
          <w:rFonts w:cstheme="minorHAnsi"/>
          <w:bCs/>
          <w:lang w:val="hr-HR"/>
        </w:rPr>
        <w:t xml:space="preserve">poduzetnike </w:t>
      </w:r>
      <w:r w:rsidR="002B209F" w:rsidRPr="004259D0">
        <w:rPr>
          <w:rFonts w:cstheme="minorHAnsi"/>
          <w:bCs/>
          <w:lang w:val="hr-HR"/>
        </w:rPr>
        <w:t xml:space="preserve">i </w:t>
      </w:r>
      <w:r w:rsidRPr="004259D0">
        <w:rPr>
          <w:rFonts w:cstheme="minorHAnsi"/>
          <w:bCs/>
          <w:lang w:val="hr-HR"/>
        </w:rPr>
        <w:t>građane.</w:t>
      </w:r>
    </w:p>
    <w:p w14:paraId="3F89BF8C" w14:textId="77777777" w:rsidR="001D3AD8" w:rsidRPr="004259D0" w:rsidRDefault="001D3AD8" w:rsidP="00BB6C59">
      <w:pPr>
        <w:spacing w:before="240" w:after="0"/>
        <w:jc w:val="both"/>
        <w:rPr>
          <w:rFonts w:cstheme="minorHAnsi"/>
          <w:lang w:val="hr-HR"/>
        </w:rPr>
      </w:pPr>
    </w:p>
    <w:p w14:paraId="22862604" w14:textId="77777777" w:rsidR="00BB6C59" w:rsidRPr="004259D0" w:rsidRDefault="00BB6C59" w:rsidP="00BB13F4">
      <w:pPr>
        <w:jc w:val="both"/>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Promjene u oporezivanju porezom na dodanu vrijednost</w:t>
      </w:r>
    </w:p>
    <w:p w14:paraId="0F6D3E39" w14:textId="37E8F851" w:rsidR="00BB6C59" w:rsidRPr="004259D0" w:rsidRDefault="00BB6C59" w:rsidP="00BB13F4">
      <w:pPr>
        <w:jc w:val="both"/>
        <w:rPr>
          <w:rFonts w:cstheme="minorHAnsi"/>
          <w:lang w:val="hr-HR"/>
        </w:rPr>
      </w:pPr>
      <w:r w:rsidRPr="004259D0">
        <w:rPr>
          <w:rFonts w:cstheme="minorHAnsi"/>
          <w:lang w:val="hr-HR"/>
        </w:rPr>
        <w:t>Od 1. siječnja 2019. Zakonom o porezu na dodanu vrijednost</w:t>
      </w:r>
      <w:r w:rsidRPr="004259D0">
        <w:rPr>
          <w:rStyle w:val="FootnoteReference"/>
          <w:rFonts w:cstheme="minorHAnsi"/>
          <w:lang w:val="hr-HR"/>
        </w:rPr>
        <w:footnoteReference w:id="44"/>
      </w:r>
      <w:r w:rsidRPr="004259D0">
        <w:rPr>
          <w:rFonts w:cstheme="minorHAnsi"/>
          <w:lang w:val="hr-HR"/>
        </w:rPr>
        <w:t xml:space="preserve"> propisano je da se sniženom stopom PDV-a </w:t>
      </w:r>
      <w:r w:rsidR="00C06F99" w:rsidRPr="004259D0">
        <w:rPr>
          <w:rFonts w:cstheme="minorHAnsi"/>
          <w:lang w:val="hr-HR"/>
        </w:rPr>
        <w:t xml:space="preserve">od </w:t>
      </w:r>
      <w:r w:rsidRPr="004259D0">
        <w:rPr>
          <w:rFonts w:cstheme="minorHAnsi"/>
          <w:lang w:val="hr-HR"/>
        </w:rPr>
        <w:t>5% oporezuju svi lijekovi (receptni i bezreceptni) te isporuke knjiga, dnevnih novina i znanstvenih časopisa, neovisno o obliku u kojem se isporučuju.</w:t>
      </w:r>
    </w:p>
    <w:p w14:paraId="6CF8D138" w14:textId="1739F22D" w:rsidR="00BB6C59" w:rsidRPr="004259D0" w:rsidRDefault="00BB6C59" w:rsidP="00BB13F4">
      <w:pPr>
        <w:jc w:val="both"/>
        <w:rPr>
          <w:rFonts w:cstheme="minorHAnsi"/>
          <w:lang w:val="hr-HR"/>
        </w:rPr>
      </w:pPr>
      <w:r w:rsidRPr="004259D0">
        <w:rPr>
          <w:rFonts w:cstheme="minorHAnsi"/>
          <w:lang w:val="hr-HR"/>
        </w:rPr>
        <w:t>Također</w:t>
      </w:r>
      <w:r w:rsidR="00C06F99" w:rsidRPr="004259D0">
        <w:rPr>
          <w:rFonts w:cstheme="minorHAnsi"/>
          <w:lang w:val="hr-HR"/>
        </w:rPr>
        <w:t>,</w:t>
      </w:r>
      <w:r w:rsidRPr="004259D0">
        <w:rPr>
          <w:rFonts w:cstheme="minorHAnsi"/>
          <w:lang w:val="hr-HR"/>
        </w:rPr>
        <w:t xml:space="preserve"> oporezivanje stopom PDV-a </w:t>
      </w:r>
      <w:r w:rsidR="00C06F99" w:rsidRPr="004259D0">
        <w:rPr>
          <w:rFonts w:cstheme="minorHAnsi"/>
          <w:lang w:val="hr-HR"/>
        </w:rPr>
        <w:t xml:space="preserve">od </w:t>
      </w:r>
      <w:r w:rsidRPr="004259D0">
        <w:rPr>
          <w:rFonts w:cstheme="minorHAnsi"/>
          <w:lang w:val="hr-HR"/>
        </w:rPr>
        <w:t>13%</w:t>
      </w:r>
      <w:r w:rsidR="003F705A" w:rsidRPr="004259D0">
        <w:rPr>
          <w:rFonts w:cstheme="minorHAnsi"/>
          <w:lang w:val="hr-HR"/>
        </w:rPr>
        <w:t xml:space="preserve"> prošireno je na </w:t>
      </w:r>
      <w:r w:rsidRPr="004259D0">
        <w:rPr>
          <w:rFonts w:cstheme="minorHAnsi"/>
          <w:lang w:val="hr-HR"/>
        </w:rPr>
        <w:t>novine i časopise koji izlaze periodično, neovisno o obliku u kojem se isporučuju; dječje pelene, isporuku životinja, mesa i mesnih prerađevina, ribe, povrća, voća i jaja. Ovoj stopi podliježu i usluge i povezana autorska prava pisaca, skladatelja i umjetnika izvođača koji su članovi odgovarajućih organizacija za kolektivno ostvarivanje prava</w:t>
      </w:r>
      <w:r w:rsidR="00C06F99" w:rsidRPr="004259D0">
        <w:rPr>
          <w:rFonts w:cstheme="minorHAnsi"/>
          <w:lang w:val="hr-HR"/>
        </w:rPr>
        <w:t>,</w:t>
      </w:r>
      <w:r w:rsidRPr="004259D0">
        <w:rPr>
          <w:rFonts w:cstheme="minorHAnsi"/>
          <w:lang w:val="hr-HR"/>
        </w:rPr>
        <w:t xml:space="preserve"> uz prethodno odobrenje središnjeg državnog tijela nadležnog za intelektualno vlasništvo.</w:t>
      </w:r>
    </w:p>
    <w:p w14:paraId="207F3A3F" w14:textId="566C07CC" w:rsidR="00BB6C59" w:rsidRPr="004259D0" w:rsidRDefault="00C06F99" w:rsidP="00BB13F4">
      <w:pPr>
        <w:jc w:val="both"/>
        <w:rPr>
          <w:rFonts w:cstheme="minorHAnsi"/>
          <w:lang w:val="hr-HR"/>
        </w:rPr>
      </w:pPr>
      <w:r w:rsidRPr="004259D0">
        <w:rPr>
          <w:rFonts w:cstheme="minorHAnsi"/>
          <w:lang w:val="hr-HR"/>
        </w:rPr>
        <w:t>Planira se</w:t>
      </w:r>
      <w:r w:rsidR="00BB6C59" w:rsidRPr="004259D0">
        <w:rPr>
          <w:rFonts w:cstheme="minorHAnsi"/>
          <w:lang w:val="hr-HR"/>
        </w:rPr>
        <w:t xml:space="preserve"> i smanjenje </w:t>
      </w:r>
      <w:r w:rsidR="001438FB" w:rsidRPr="004259D0">
        <w:rPr>
          <w:rFonts w:cstheme="minorHAnsi"/>
          <w:lang w:val="hr-HR"/>
        </w:rPr>
        <w:t xml:space="preserve">opće stope PDV-a </w:t>
      </w:r>
      <w:r w:rsidRPr="004259D0">
        <w:rPr>
          <w:rFonts w:cstheme="minorHAnsi"/>
          <w:lang w:val="hr-HR"/>
        </w:rPr>
        <w:t>s</w:t>
      </w:r>
      <w:r w:rsidR="001438FB" w:rsidRPr="004259D0">
        <w:rPr>
          <w:rFonts w:cstheme="minorHAnsi"/>
          <w:lang w:val="hr-HR"/>
        </w:rPr>
        <w:t xml:space="preserve"> 25% na 24%, </w:t>
      </w:r>
      <w:r w:rsidR="00BB6C59" w:rsidRPr="004259D0">
        <w:rPr>
          <w:rFonts w:cstheme="minorHAnsi"/>
          <w:lang w:val="hr-HR"/>
        </w:rPr>
        <w:t>s primjenom od 1. siječnja 2020.</w:t>
      </w:r>
      <w:r w:rsidR="001438FB" w:rsidRPr="004259D0">
        <w:rPr>
          <w:rFonts w:cstheme="minorHAnsi"/>
          <w:lang w:val="hr-HR"/>
        </w:rPr>
        <w:t xml:space="preserve"> </w:t>
      </w:r>
    </w:p>
    <w:p w14:paraId="4BEA41C0" w14:textId="36AB91DF" w:rsidR="00BB6C59" w:rsidRPr="004259D0" w:rsidRDefault="00BB6C59" w:rsidP="00BB13F4">
      <w:pPr>
        <w:jc w:val="both"/>
        <w:rPr>
          <w:rFonts w:cstheme="minorHAnsi"/>
          <w:lang w:val="hr-HR"/>
        </w:rPr>
      </w:pPr>
      <w:r w:rsidRPr="004259D0">
        <w:rPr>
          <w:rFonts w:cstheme="minorHAnsi"/>
          <w:lang w:val="hr-HR"/>
        </w:rPr>
        <w:t xml:space="preserve">Ukinut je vrijednosni prag u iznosu </w:t>
      </w:r>
      <w:r w:rsidR="001A6794" w:rsidRPr="004259D0">
        <w:rPr>
          <w:rFonts w:cstheme="minorHAnsi"/>
          <w:lang w:val="hr-HR"/>
        </w:rPr>
        <w:t xml:space="preserve">od </w:t>
      </w:r>
      <w:r w:rsidRPr="004259D0">
        <w:rPr>
          <w:rFonts w:cstheme="minorHAnsi"/>
          <w:lang w:val="hr-HR"/>
        </w:rPr>
        <w:t>400</w:t>
      </w:r>
      <w:r w:rsidR="00DB2A76" w:rsidRPr="004259D0">
        <w:rPr>
          <w:rFonts w:cstheme="minorHAnsi"/>
          <w:lang w:val="hr-HR"/>
        </w:rPr>
        <w:t>.000</w:t>
      </w:r>
      <w:r w:rsidR="001A6794" w:rsidRPr="004259D0">
        <w:rPr>
          <w:rFonts w:cstheme="minorHAnsi"/>
          <w:lang w:val="hr-HR"/>
        </w:rPr>
        <w:t xml:space="preserve"> </w:t>
      </w:r>
      <w:r w:rsidRPr="004259D0">
        <w:rPr>
          <w:rFonts w:cstheme="minorHAnsi"/>
          <w:lang w:val="hr-HR"/>
        </w:rPr>
        <w:t>kuna, čime je dopušten odbitak 50% pretporeza za sve osobne automobile neovisno o njihovoj vrijednosti. Također</w:t>
      </w:r>
      <w:r w:rsidR="00B132C5" w:rsidRPr="004259D0">
        <w:rPr>
          <w:rFonts w:cstheme="minorHAnsi"/>
          <w:lang w:val="hr-HR"/>
        </w:rPr>
        <w:t>,</w:t>
      </w:r>
      <w:r w:rsidRPr="004259D0">
        <w:rPr>
          <w:rFonts w:cstheme="minorHAnsi"/>
          <w:lang w:val="hr-HR"/>
        </w:rPr>
        <w:t xml:space="preserve"> ukinuto je </w:t>
      </w:r>
      <w:r w:rsidR="00B132C5" w:rsidRPr="004259D0">
        <w:rPr>
          <w:rFonts w:cstheme="minorHAnsi"/>
          <w:lang w:val="hr-HR"/>
        </w:rPr>
        <w:t xml:space="preserve">i </w:t>
      </w:r>
      <w:r w:rsidRPr="004259D0">
        <w:rPr>
          <w:rFonts w:cstheme="minorHAnsi"/>
          <w:lang w:val="hr-HR"/>
        </w:rPr>
        <w:t>pravo na odbitak 50% pretporeza za plovila i zrakoplove u pogledu njihovog korištenja za privatne i poslovne potrebe.</w:t>
      </w:r>
    </w:p>
    <w:p w14:paraId="74E94BCC" w14:textId="684B89AE" w:rsidR="00BB6C59" w:rsidRPr="004259D0" w:rsidRDefault="00BB6C59" w:rsidP="00BB13F4">
      <w:pPr>
        <w:shd w:val="clear" w:color="auto" w:fill="FFFFFF"/>
        <w:jc w:val="both"/>
        <w:rPr>
          <w:rFonts w:eastAsia="Times New Roman" w:cstheme="minorHAnsi"/>
          <w:lang w:val="hr-HR" w:eastAsia="hr-HR"/>
        </w:rPr>
      </w:pPr>
      <w:r w:rsidRPr="004259D0">
        <w:rPr>
          <w:rFonts w:cstheme="minorHAnsi"/>
          <w:bdr w:val="none" w:sz="0" w:space="0" w:color="auto" w:frame="1"/>
          <w:lang w:val="hr-HR"/>
        </w:rPr>
        <w:t>Upis u registar obveznika PDV-a obavlja se temeljem oporezivih isporuka u prethodnoj ili tekućoj kalendarskoj godini</w:t>
      </w:r>
      <w:r w:rsidR="00465D49" w:rsidRPr="004259D0">
        <w:rPr>
          <w:rFonts w:cstheme="minorHAnsi"/>
          <w:bdr w:val="none" w:sz="0" w:space="0" w:color="auto" w:frame="1"/>
          <w:lang w:val="hr-HR"/>
        </w:rPr>
        <w:t>,</w:t>
      </w:r>
      <w:r w:rsidRPr="004259D0">
        <w:rPr>
          <w:rFonts w:cstheme="minorHAnsi"/>
          <w:bdr w:val="none" w:sz="0" w:space="0" w:color="auto" w:frame="1"/>
          <w:lang w:val="hr-HR"/>
        </w:rPr>
        <w:t xml:space="preserve"> što znači da se porezni obveznik upisuje u </w:t>
      </w:r>
      <w:r w:rsidRPr="004259D0">
        <w:rPr>
          <w:rFonts w:eastAsia="Times New Roman" w:cstheme="minorHAnsi"/>
          <w:lang w:val="hr-HR" w:eastAsia="hr-HR"/>
        </w:rPr>
        <w:t>registar obveznika PDV-a u</w:t>
      </w:r>
      <w:r w:rsidRPr="004259D0">
        <w:rPr>
          <w:rFonts w:eastAsia="Times New Roman" w:cstheme="minorHAnsi"/>
          <w:bCs/>
          <w:lang w:val="hr-HR" w:eastAsia="hr-HR"/>
        </w:rPr>
        <w:t xml:space="preserve"> tijeku godine</w:t>
      </w:r>
      <w:r w:rsidRPr="004259D0">
        <w:rPr>
          <w:rFonts w:eastAsia="Times New Roman" w:cstheme="minorHAnsi"/>
          <w:lang w:val="hr-HR" w:eastAsia="hr-HR"/>
        </w:rPr>
        <w:t xml:space="preserve"> ako ostvari isporuke veće od 300.000</w:t>
      </w:r>
      <w:r w:rsidR="00465D49" w:rsidRPr="004259D0">
        <w:rPr>
          <w:rFonts w:eastAsia="Times New Roman" w:cstheme="minorHAnsi"/>
          <w:lang w:val="hr-HR" w:eastAsia="hr-HR"/>
        </w:rPr>
        <w:t xml:space="preserve"> </w:t>
      </w:r>
      <w:r w:rsidRPr="004259D0">
        <w:rPr>
          <w:rFonts w:eastAsia="Times New Roman" w:cstheme="minorHAnsi"/>
          <w:lang w:val="hr-HR" w:eastAsia="hr-HR"/>
        </w:rPr>
        <w:t>kuna.</w:t>
      </w:r>
    </w:p>
    <w:p w14:paraId="6C2F924F" w14:textId="23075285" w:rsidR="00BB6C59" w:rsidRPr="004259D0" w:rsidRDefault="00BB6C59" w:rsidP="00BB13F4">
      <w:pPr>
        <w:jc w:val="both"/>
        <w:rPr>
          <w:rFonts w:cstheme="minorHAnsi"/>
          <w:lang w:val="hr-HR"/>
        </w:rPr>
      </w:pPr>
      <w:r w:rsidRPr="004259D0">
        <w:rPr>
          <w:rFonts w:cstheme="minorHAnsi"/>
          <w:lang w:val="hr-HR"/>
        </w:rPr>
        <w:t xml:space="preserve">Također, prijenos porezne obveze primjenjuje se i na isporuku betonskog čelika i željeza te proizvoda od betonskog čelika i željeza (armatura), što znači da je porezni obveznik upisan u registar obveznika PDV-a u </w:t>
      </w:r>
      <w:r w:rsidR="00465D49" w:rsidRPr="004259D0">
        <w:rPr>
          <w:rFonts w:cstheme="minorHAnsi"/>
          <w:lang w:val="hr-HR"/>
        </w:rPr>
        <w:t>RH</w:t>
      </w:r>
      <w:r w:rsidRPr="004259D0">
        <w:rPr>
          <w:rFonts w:cstheme="minorHAnsi"/>
          <w:lang w:val="hr-HR"/>
        </w:rPr>
        <w:t xml:space="preserve"> obvezan platiti PDV kada mu se obavi isporuka tih dobara. </w:t>
      </w:r>
    </w:p>
    <w:p w14:paraId="780CDB94" w14:textId="77777777" w:rsidR="00BB6C59" w:rsidRPr="004259D0" w:rsidRDefault="00BB6C59" w:rsidP="00BB13F4">
      <w:pPr>
        <w:jc w:val="both"/>
        <w:rPr>
          <w:rFonts w:cstheme="minorHAnsi"/>
          <w:lang w:val="hr-HR"/>
        </w:rPr>
      </w:pPr>
    </w:p>
    <w:p w14:paraId="2050B8C6" w14:textId="77777777" w:rsidR="00BB6C59" w:rsidRPr="004259D0" w:rsidRDefault="00BB6C59" w:rsidP="001D3AD8">
      <w:pPr>
        <w:jc w:val="both"/>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Promjene u oporezivanju porezom na dobit</w:t>
      </w:r>
    </w:p>
    <w:p w14:paraId="065FB997" w14:textId="3276A562" w:rsidR="00BB6C59" w:rsidRPr="004259D0" w:rsidRDefault="00BB6C59" w:rsidP="00A279D7">
      <w:pPr>
        <w:numPr>
          <w:ilvl w:val="1"/>
          <w:numId w:val="0"/>
        </w:numPr>
        <w:spacing w:before="240" w:after="0"/>
        <w:jc w:val="both"/>
        <w:rPr>
          <w:rFonts w:eastAsia="Calibri" w:cstheme="minorHAnsi"/>
          <w:lang w:val="hr-HR" w:eastAsia="hr-HR"/>
        </w:rPr>
      </w:pPr>
      <w:r w:rsidRPr="004259D0">
        <w:rPr>
          <w:rFonts w:cstheme="minorHAnsi"/>
          <w:lang w:val="hr-HR"/>
        </w:rPr>
        <w:t>Tijekom 2018. godine došlo je do izmjene Zakona o porezu na dobit</w:t>
      </w:r>
      <w:r w:rsidR="00460CF6" w:rsidRPr="004259D0">
        <w:rPr>
          <w:rStyle w:val="FootnoteReference"/>
          <w:lang w:val="hr-HR"/>
        </w:rPr>
        <w:footnoteReference w:id="45"/>
      </w:r>
      <w:r w:rsidRPr="004259D0">
        <w:rPr>
          <w:rFonts w:cstheme="minorHAnsi"/>
          <w:lang w:val="hr-HR"/>
        </w:rPr>
        <w:t xml:space="preserve"> radi obveze usklađivanja s Direktivom Vijeća (EU)</w:t>
      </w:r>
      <w:r w:rsidRPr="004259D0">
        <w:rPr>
          <w:rStyle w:val="FootnoteReference"/>
          <w:rFonts w:cstheme="minorHAnsi"/>
          <w:lang w:val="hr-HR"/>
        </w:rPr>
        <w:footnoteReference w:id="46"/>
      </w:r>
      <w:r w:rsidRPr="004259D0">
        <w:rPr>
          <w:rFonts w:cstheme="minorHAnsi"/>
          <w:lang w:val="hr-HR"/>
        </w:rPr>
        <w:t xml:space="preserve"> o utvrđivanju pravila protiv praksi izbjegavanja poreza kojima se izravno utječe na funkcioniranje unutarnjeg tržišta. </w:t>
      </w:r>
      <w:r w:rsidR="00A279D7" w:rsidRPr="004259D0">
        <w:rPr>
          <w:rFonts w:cstheme="minorHAnsi"/>
          <w:lang w:val="hr-HR"/>
        </w:rPr>
        <w:t xml:space="preserve">Tako je Zakonom </w:t>
      </w:r>
      <w:r w:rsidRPr="004259D0">
        <w:rPr>
          <w:rFonts w:eastAsia="Calibri" w:cstheme="minorHAnsi"/>
          <w:lang w:val="hr-HR" w:eastAsia="hr-HR"/>
        </w:rPr>
        <w:t xml:space="preserve">propisana obrambena mjera te se obveza plaćanja poreza po odbitku po stopi od 20% proširila i na kamate, dividende, autorska prava i druge naknade ako se isplate osobama s područja nekooperativnih država. </w:t>
      </w:r>
    </w:p>
    <w:p w14:paraId="2BB33B35" w14:textId="77777777" w:rsidR="00BB13F4" w:rsidRPr="004259D0" w:rsidRDefault="00BB13F4" w:rsidP="009D3528">
      <w:pPr>
        <w:spacing w:before="240" w:after="0"/>
        <w:jc w:val="both"/>
        <w:rPr>
          <w:rFonts w:cstheme="minorHAnsi"/>
          <w:lang w:val="hr-HR"/>
        </w:rPr>
      </w:pPr>
    </w:p>
    <w:p w14:paraId="15F336B9" w14:textId="77777777" w:rsidR="00BB6C59" w:rsidRPr="004259D0" w:rsidRDefault="00BB6C59" w:rsidP="001D3AD8">
      <w:pPr>
        <w:jc w:val="both"/>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Promjene u oporezivanju porezom na dohodak</w:t>
      </w:r>
    </w:p>
    <w:p w14:paraId="113844A4" w14:textId="2885287E" w:rsidR="00BB6C59" w:rsidRPr="004259D0" w:rsidRDefault="00BB6C59" w:rsidP="00BB6C59">
      <w:pPr>
        <w:spacing w:before="240" w:after="0"/>
        <w:jc w:val="both"/>
        <w:rPr>
          <w:rFonts w:cstheme="minorHAnsi"/>
          <w:lang w:val="hr-HR"/>
        </w:rPr>
      </w:pPr>
      <w:r w:rsidRPr="004259D0">
        <w:rPr>
          <w:rFonts w:cstheme="minorHAnsi"/>
          <w:lang w:val="hr-HR"/>
        </w:rPr>
        <w:t xml:space="preserve">U sustavu poreza na dohodak počinju se primjenjivati nove odredbe koje su stupile na snagu 1. siječnja 2019. </w:t>
      </w:r>
      <w:r w:rsidR="006948A6" w:rsidRPr="004259D0">
        <w:rPr>
          <w:rFonts w:cstheme="minorHAnsi"/>
          <w:lang w:val="hr-HR"/>
        </w:rPr>
        <w:t>Naime, p</w:t>
      </w:r>
      <w:r w:rsidRPr="004259D0">
        <w:rPr>
          <w:rFonts w:cstheme="minorHAnsi"/>
          <w:lang w:val="hr-HR"/>
        </w:rPr>
        <w:t>roširena je godišnja porezna osnovica za primjenu stope od 24% s 210</w:t>
      </w:r>
      <w:r w:rsidR="0066020D" w:rsidRPr="004259D0">
        <w:rPr>
          <w:rFonts w:cstheme="minorHAnsi"/>
          <w:lang w:val="hr-HR"/>
        </w:rPr>
        <w:t>.000</w:t>
      </w:r>
      <w:r w:rsidR="006948A6" w:rsidRPr="004259D0">
        <w:rPr>
          <w:rFonts w:cstheme="minorHAnsi"/>
          <w:lang w:val="hr-HR"/>
        </w:rPr>
        <w:t xml:space="preserve"> </w:t>
      </w:r>
      <w:r w:rsidRPr="004259D0">
        <w:rPr>
          <w:rFonts w:cstheme="minorHAnsi"/>
          <w:lang w:val="hr-HR"/>
        </w:rPr>
        <w:t>k</w:t>
      </w:r>
      <w:r w:rsidR="006948A6" w:rsidRPr="004259D0">
        <w:rPr>
          <w:rFonts w:cstheme="minorHAnsi"/>
          <w:lang w:val="hr-HR"/>
        </w:rPr>
        <w:t>u</w:t>
      </w:r>
      <w:r w:rsidRPr="004259D0">
        <w:rPr>
          <w:rFonts w:cstheme="minorHAnsi"/>
          <w:lang w:val="hr-HR"/>
        </w:rPr>
        <w:t>n</w:t>
      </w:r>
      <w:r w:rsidR="006948A6" w:rsidRPr="004259D0">
        <w:rPr>
          <w:rFonts w:cstheme="minorHAnsi"/>
          <w:lang w:val="hr-HR"/>
        </w:rPr>
        <w:t>a</w:t>
      </w:r>
      <w:r w:rsidRPr="004259D0">
        <w:rPr>
          <w:rFonts w:cstheme="minorHAnsi"/>
          <w:lang w:val="hr-HR"/>
        </w:rPr>
        <w:t xml:space="preserve"> na 36</w:t>
      </w:r>
      <w:r w:rsidR="0066020D" w:rsidRPr="004259D0">
        <w:rPr>
          <w:rFonts w:cstheme="minorHAnsi"/>
          <w:lang w:val="hr-HR"/>
        </w:rPr>
        <w:t>0.</w:t>
      </w:r>
      <w:r w:rsidRPr="004259D0">
        <w:rPr>
          <w:rFonts w:cstheme="minorHAnsi"/>
          <w:lang w:val="hr-HR"/>
        </w:rPr>
        <w:t>0</w:t>
      </w:r>
      <w:r w:rsidR="0066020D" w:rsidRPr="004259D0">
        <w:rPr>
          <w:rFonts w:cstheme="minorHAnsi"/>
          <w:lang w:val="hr-HR"/>
        </w:rPr>
        <w:t>00</w:t>
      </w:r>
      <w:r w:rsidR="006948A6" w:rsidRPr="004259D0">
        <w:rPr>
          <w:rFonts w:cstheme="minorHAnsi"/>
          <w:lang w:val="hr-HR"/>
        </w:rPr>
        <w:t xml:space="preserve"> kuna</w:t>
      </w:r>
      <w:r w:rsidRPr="004259D0">
        <w:rPr>
          <w:rFonts w:cstheme="minorHAnsi"/>
          <w:lang w:val="hr-HR"/>
        </w:rPr>
        <w:t xml:space="preserve"> odnosno mjesečna s</w:t>
      </w:r>
      <w:r w:rsidR="00B15850" w:rsidRPr="004259D0">
        <w:rPr>
          <w:rFonts w:cstheme="minorHAnsi"/>
          <w:lang w:val="hr-HR"/>
        </w:rPr>
        <w:t>a</w:t>
      </w:r>
      <w:r w:rsidR="006948A6" w:rsidRPr="004259D0">
        <w:rPr>
          <w:rFonts w:cstheme="minorHAnsi"/>
          <w:lang w:val="hr-HR"/>
        </w:rPr>
        <w:t xml:space="preserve"> 17</w:t>
      </w:r>
      <w:r w:rsidR="0066020D" w:rsidRPr="004259D0">
        <w:rPr>
          <w:rFonts w:cstheme="minorHAnsi"/>
          <w:lang w:val="hr-HR"/>
        </w:rPr>
        <w:t>.500</w:t>
      </w:r>
      <w:r w:rsidR="006948A6" w:rsidRPr="004259D0">
        <w:rPr>
          <w:rFonts w:cstheme="minorHAnsi"/>
          <w:lang w:val="hr-HR"/>
        </w:rPr>
        <w:t xml:space="preserve"> na </w:t>
      </w:r>
      <w:r w:rsidRPr="004259D0">
        <w:rPr>
          <w:rFonts w:cstheme="minorHAnsi"/>
          <w:lang w:val="hr-HR"/>
        </w:rPr>
        <w:t>30</w:t>
      </w:r>
      <w:r w:rsidR="0066020D" w:rsidRPr="004259D0">
        <w:rPr>
          <w:rFonts w:cstheme="minorHAnsi"/>
          <w:lang w:val="hr-HR"/>
        </w:rPr>
        <w:t>.000</w:t>
      </w:r>
      <w:r w:rsidR="006948A6" w:rsidRPr="004259D0">
        <w:rPr>
          <w:rFonts w:cstheme="minorHAnsi"/>
          <w:lang w:val="hr-HR"/>
        </w:rPr>
        <w:t xml:space="preserve"> kuna</w:t>
      </w:r>
      <w:r w:rsidRPr="004259D0">
        <w:rPr>
          <w:rFonts w:cstheme="minorHAnsi"/>
          <w:lang w:val="hr-HR"/>
        </w:rPr>
        <w:t>. Propisano je da se na novčane nagrade vezano uz radne rezultate i dodatno nagrađi</w:t>
      </w:r>
      <w:r w:rsidR="00B15850" w:rsidRPr="004259D0">
        <w:rPr>
          <w:rFonts w:cstheme="minorHAnsi"/>
          <w:lang w:val="hr-HR"/>
        </w:rPr>
        <w:t xml:space="preserve">vanje ne plaća </w:t>
      </w:r>
      <w:r w:rsidRPr="004259D0">
        <w:rPr>
          <w:rFonts w:cstheme="minorHAnsi"/>
          <w:lang w:val="hr-HR"/>
        </w:rPr>
        <w:t>porez na dohodak do 5.000 k</w:t>
      </w:r>
      <w:r w:rsidR="0066020D" w:rsidRPr="004259D0">
        <w:rPr>
          <w:rFonts w:cstheme="minorHAnsi"/>
          <w:lang w:val="hr-HR"/>
        </w:rPr>
        <w:t>u</w:t>
      </w:r>
      <w:r w:rsidRPr="004259D0">
        <w:rPr>
          <w:rFonts w:cstheme="minorHAnsi"/>
          <w:lang w:val="hr-HR"/>
        </w:rPr>
        <w:t>n</w:t>
      </w:r>
      <w:r w:rsidR="0066020D" w:rsidRPr="004259D0">
        <w:rPr>
          <w:rFonts w:cstheme="minorHAnsi"/>
          <w:lang w:val="hr-HR"/>
        </w:rPr>
        <w:t>a</w:t>
      </w:r>
      <w:r w:rsidRPr="004259D0">
        <w:rPr>
          <w:rFonts w:cstheme="minorHAnsi"/>
          <w:lang w:val="hr-HR"/>
        </w:rPr>
        <w:t>. Također je povećan neoporezivi iznos potpore za novorođenče na 10.000 k</w:t>
      </w:r>
      <w:r w:rsidR="0066020D" w:rsidRPr="004259D0">
        <w:rPr>
          <w:rFonts w:cstheme="minorHAnsi"/>
          <w:lang w:val="hr-HR"/>
        </w:rPr>
        <w:t>u</w:t>
      </w:r>
      <w:r w:rsidRPr="004259D0">
        <w:rPr>
          <w:rFonts w:cstheme="minorHAnsi"/>
          <w:lang w:val="hr-HR"/>
        </w:rPr>
        <w:t>n</w:t>
      </w:r>
      <w:r w:rsidR="0066020D" w:rsidRPr="004259D0">
        <w:rPr>
          <w:rFonts w:cstheme="minorHAnsi"/>
          <w:lang w:val="hr-HR"/>
        </w:rPr>
        <w:t>a</w:t>
      </w:r>
      <w:r w:rsidRPr="004259D0">
        <w:rPr>
          <w:rFonts w:cstheme="minorHAnsi"/>
          <w:lang w:val="hr-HR"/>
        </w:rPr>
        <w:t>.</w:t>
      </w:r>
    </w:p>
    <w:p w14:paraId="36AE04F2" w14:textId="432FA413" w:rsidR="00BB6C59" w:rsidRPr="004259D0" w:rsidRDefault="00BB6C59" w:rsidP="00BB6C59">
      <w:pPr>
        <w:spacing w:before="240" w:after="0"/>
        <w:jc w:val="both"/>
        <w:rPr>
          <w:rFonts w:cstheme="minorHAnsi"/>
          <w:lang w:val="hr-HR"/>
        </w:rPr>
      </w:pPr>
      <w:r w:rsidRPr="004259D0">
        <w:rPr>
          <w:rFonts w:cstheme="minorHAnsi"/>
          <w:lang w:val="hr-HR"/>
        </w:rPr>
        <w:t>Kako bi se omogućilo korištenje olakšica većem broju uzdržavatelja, proširen je krug osoba koje se mogu smatrati uzdržavanim članovima uže obitelji odnosno uzdržavanom djecom. Također je proširen obuhvat primitaka koji se ne uzimaju u obzir pri utvrđivanju prava na osobni odbitak</w:t>
      </w:r>
      <w:r w:rsidR="00DB2A76" w:rsidRPr="004259D0">
        <w:rPr>
          <w:rFonts w:cstheme="minorHAnsi"/>
          <w:lang w:val="hr-HR"/>
        </w:rPr>
        <w:t xml:space="preserve"> za uzdržavane članove, Naime, </w:t>
      </w:r>
      <w:r w:rsidR="00B22E4C" w:rsidRPr="004259D0">
        <w:rPr>
          <w:rFonts w:cstheme="minorHAnsi"/>
          <w:lang w:val="hr-HR"/>
        </w:rPr>
        <w:t xml:space="preserve">od 1. siječnja </w:t>
      </w:r>
      <w:r w:rsidRPr="004259D0">
        <w:rPr>
          <w:rFonts w:cstheme="minorHAnsi"/>
          <w:lang w:val="hr-HR"/>
        </w:rPr>
        <w:t xml:space="preserve">2019. </w:t>
      </w:r>
      <w:r w:rsidR="00DB2A76" w:rsidRPr="004259D0">
        <w:rPr>
          <w:rFonts w:cstheme="minorHAnsi"/>
          <w:lang w:val="hr-HR"/>
        </w:rPr>
        <w:t>u cenzus od 15.000</w:t>
      </w:r>
      <w:r w:rsidR="009D0D47" w:rsidRPr="004259D0">
        <w:rPr>
          <w:rFonts w:cstheme="minorHAnsi"/>
          <w:lang w:val="hr-HR"/>
        </w:rPr>
        <w:t xml:space="preserve"> ne ulaze </w:t>
      </w:r>
      <w:r w:rsidRPr="004259D0">
        <w:rPr>
          <w:rFonts w:cstheme="minorHAnsi"/>
          <w:lang w:val="hr-HR"/>
        </w:rPr>
        <w:t xml:space="preserve">stipendije, nagrade za izvrsnost učenika i studenata i bespovratna sredstva koja se isplaćuju iz proračuna, fondova i programa </w:t>
      </w:r>
      <w:r w:rsidR="00256605" w:rsidRPr="004259D0">
        <w:rPr>
          <w:rFonts w:cstheme="minorHAnsi"/>
          <w:lang w:val="hr-HR"/>
        </w:rPr>
        <w:t>EU</w:t>
      </w:r>
      <w:r w:rsidRPr="004259D0">
        <w:rPr>
          <w:rFonts w:cstheme="minorHAnsi"/>
          <w:lang w:val="hr-HR"/>
        </w:rPr>
        <w:t xml:space="preserve"> u svrhe obrazovanja i usavršavanja neovisno o iznosu, odštete od osiguranja isplaćene zbog teške ozljede i priznate invalidnosti, potpore djetetu za školovanje do 15. godine života koju poslodavac isplaćuje djetetu umrlog radnika/bivšeg radnika. </w:t>
      </w:r>
    </w:p>
    <w:p w14:paraId="4D0088B0" w14:textId="5492FA12" w:rsidR="00BB6C59" w:rsidRPr="004259D0" w:rsidRDefault="00BB6C59" w:rsidP="00BB6C59">
      <w:pPr>
        <w:spacing w:before="240" w:after="0"/>
        <w:jc w:val="both"/>
        <w:rPr>
          <w:rFonts w:cstheme="minorHAnsi"/>
          <w:lang w:val="hr-HR"/>
        </w:rPr>
      </w:pPr>
      <w:r w:rsidRPr="004259D0">
        <w:rPr>
          <w:rFonts w:cstheme="minorHAnsi"/>
          <w:lang w:val="hr-HR"/>
        </w:rPr>
        <w:t xml:space="preserve">Propisano je da se ne smatraju dohotkom udžbenici koje </w:t>
      </w:r>
      <w:r w:rsidR="004C1BB8" w:rsidRPr="004259D0">
        <w:rPr>
          <w:lang w:val="hr-HR"/>
        </w:rPr>
        <w:t>JLP(R)S</w:t>
      </w:r>
      <w:r w:rsidRPr="004259D0">
        <w:rPr>
          <w:rFonts w:cstheme="minorHAnsi"/>
          <w:lang w:val="hr-HR"/>
        </w:rPr>
        <w:t xml:space="preserve"> daju učenicima osnovnih i srednjih škola i primici iz programa obrazovanja nezaposlenih osoba, a koje se financiraju iz državnog proračuna i/ili proračuna lokalne i područne</w:t>
      </w:r>
      <w:r w:rsidR="00F404E2" w:rsidRPr="004259D0">
        <w:rPr>
          <w:rFonts w:cstheme="minorHAnsi"/>
          <w:lang w:val="hr-HR"/>
        </w:rPr>
        <w:t xml:space="preserve"> (regionalne)</w:t>
      </w:r>
      <w:r w:rsidRPr="004259D0">
        <w:rPr>
          <w:rFonts w:cstheme="minorHAnsi"/>
          <w:lang w:val="hr-HR"/>
        </w:rPr>
        <w:t xml:space="preserve"> samouprave i/ili fondova EU i drugih međunarodnih fondova.</w:t>
      </w:r>
    </w:p>
    <w:p w14:paraId="680FF3D5" w14:textId="023D4C12" w:rsidR="00BB6C59" w:rsidRPr="004259D0" w:rsidRDefault="00BB6C59" w:rsidP="00BB6C59">
      <w:pPr>
        <w:spacing w:before="240" w:after="0"/>
        <w:jc w:val="both"/>
        <w:rPr>
          <w:rFonts w:cstheme="minorHAnsi"/>
          <w:lang w:val="hr-HR"/>
        </w:rPr>
      </w:pPr>
      <w:r w:rsidRPr="004259D0">
        <w:rPr>
          <w:rFonts w:cstheme="minorHAnsi"/>
          <w:lang w:val="hr-HR"/>
        </w:rPr>
        <w:t>Izjednačen je porezni tretman primitaka u naravi po osnovi dodjele ili opcijske kupnje vlastitih dionica u okviru dohotka od kapitala</w:t>
      </w:r>
      <w:r w:rsidR="00640991" w:rsidRPr="004259D0">
        <w:rPr>
          <w:rFonts w:cstheme="minorHAnsi"/>
          <w:lang w:val="hr-HR"/>
        </w:rPr>
        <w:t xml:space="preserve"> po stopi od 24%, </w:t>
      </w:r>
      <w:r w:rsidRPr="004259D0">
        <w:rPr>
          <w:rFonts w:cstheme="minorHAnsi"/>
          <w:lang w:val="hr-HR"/>
        </w:rPr>
        <w:t xml:space="preserve">neovisno radi li se o radnicima ili drugim povezanim osobama te neovisno o tome kotiraju li </w:t>
      </w:r>
      <w:r w:rsidR="00640991" w:rsidRPr="004259D0">
        <w:rPr>
          <w:rFonts w:cstheme="minorHAnsi"/>
          <w:lang w:val="hr-HR"/>
        </w:rPr>
        <w:t>dionice društva na burzi ili ne</w:t>
      </w:r>
      <w:r w:rsidRPr="004259D0">
        <w:rPr>
          <w:rFonts w:cstheme="minorHAnsi"/>
          <w:lang w:val="hr-HR"/>
        </w:rPr>
        <w:t xml:space="preserve">. Propisano je </w:t>
      </w:r>
      <w:r w:rsidR="00640991" w:rsidRPr="004259D0">
        <w:rPr>
          <w:rFonts w:cstheme="minorHAnsi"/>
          <w:lang w:val="hr-HR"/>
        </w:rPr>
        <w:t xml:space="preserve">i </w:t>
      </w:r>
      <w:r w:rsidRPr="004259D0">
        <w:rPr>
          <w:rFonts w:cstheme="minorHAnsi"/>
          <w:lang w:val="hr-HR"/>
        </w:rPr>
        <w:t xml:space="preserve">oporezivanje primitaka ostvarenih po osnovi privremenih odnosno povremenih poslova u poljoprivredi po stopi od 12% kao konačan drugi dohodak. </w:t>
      </w:r>
      <w:r w:rsidR="00640991" w:rsidRPr="004259D0">
        <w:rPr>
          <w:rFonts w:cstheme="minorHAnsi"/>
          <w:lang w:val="hr-HR"/>
        </w:rPr>
        <w:t>Nadalje, s</w:t>
      </w:r>
      <w:r w:rsidRPr="004259D0">
        <w:rPr>
          <w:rFonts w:cstheme="minorHAnsi"/>
          <w:lang w:val="hr-HR"/>
        </w:rPr>
        <w:t xml:space="preserve">manjena je </w:t>
      </w:r>
      <w:r w:rsidR="00640991" w:rsidRPr="004259D0">
        <w:rPr>
          <w:rFonts w:cstheme="minorHAnsi"/>
          <w:lang w:val="hr-HR"/>
        </w:rPr>
        <w:t xml:space="preserve">i </w:t>
      </w:r>
      <w:r w:rsidRPr="004259D0">
        <w:rPr>
          <w:rFonts w:cstheme="minorHAnsi"/>
          <w:lang w:val="hr-HR"/>
        </w:rPr>
        <w:t xml:space="preserve">stopa kamata koja se smatra povoljnom pri odobravanju kredita, a koja se smatra primitkom u naravi, s 3% na 2%. </w:t>
      </w:r>
    </w:p>
    <w:p w14:paraId="470A289E" w14:textId="77777777" w:rsidR="00BB13F4" w:rsidRPr="004259D0" w:rsidRDefault="00BB13F4" w:rsidP="00BB6C59">
      <w:pPr>
        <w:spacing w:before="240" w:after="0"/>
        <w:jc w:val="both"/>
        <w:rPr>
          <w:rFonts w:cstheme="minorHAnsi"/>
          <w:lang w:val="hr-HR"/>
        </w:rPr>
      </w:pPr>
    </w:p>
    <w:p w14:paraId="6BC50100" w14:textId="77777777" w:rsidR="00BB6C59" w:rsidRPr="004259D0" w:rsidRDefault="00BB6C59" w:rsidP="001D3AD8">
      <w:pPr>
        <w:jc w:val="both"/>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Promjene u obvezi plaćanja doprinosa</w:t>
      </w:r>
    </w:p>
    <w:p w14:paraId="7FC44166" w14:textId="77777777" w:rsidR="00BB6C59" w:rsidRPr="004259D0" w:rsidRDefault="00BB6C59" w:rsidP="00BB6C59">
      <w:pPr>
        <w:spacing w:before="240" w:after="0" w:line="240" w:lineRule="auto"/>
        <w:jc w:val="both"/>
        <w:rPr>
          <w:rFonts w:eastAsia="Times New Roman" w:cstheme="minorHAnsi"/>
          <w:lang w:val="hr-HR" w:eastAsia="hr-HR"/>
        </w:rPr>
      </w:pPr>
      <w:r w:rsidRPr="004259D0">
        <w:rPr>
          <w:rFonts w:eastAsia="Times New Roman" w:cstheme="minorHAnsi"/>
          <w:lang w:val="hr-HR" w:eastAsia="hr-HR"/>
        </w:rPr>
        <w:t>Izmjenama Zakona o doprinosima</w:t>
      </w:r>
      <w:r w:rsidR="009972EF" w:rsidRPr="004259D0">
        <w:rPr>
          <w:rStyle w:val="FootnoteReference"/>
          <w:rFonts w:eastAsia="Times New Roman"/>
          <w:lang w:val="hr-HR" w:eastAsia="hr-HR"/>
        </w:rPr>
        <w:footnoteReference w:id="47"/>
      </w:r>
      <w:r w:rsidRPr="004259D0">
        <w:rPr>
          <w:rFonts w:eastAsia="Times New Roman" w:cstheme="minorHAnsi"/>
          <w:lang w:val="hr-HR" w:eastAsia="hr-HR"/>
        </w:rPr>
        <w:t xml:space="preserve"> ukidaju se doprinos za zapošljavanje od 1,7% i doprinos za zaštitu zdravlja na radu od 0,5%, a doprinos za zdravstveno osiguranje se povećava s 15% na 16,5%, čime se ukupno opterećenje plaće doprinosima smanjuje s 37,2% na 36,5%. </w:t>
      </w:r>
    </w:p>
    <w:p w14:paraId="270DF58B" w14:textId="00EA706E" w:rsidR="00BB6C59" w:rsidRPr="004259D0" w:rsidRDefault="00BB6C59" w:rsidP="00BB6C59">
      <w:pPr>
        <w:spacing w:before="240" w:after="0" w:line="240" w:lineRule="auto"/>
        <w:jc w:val="both"/>
        <w:rPr>
          <w:rFonts w:eastAsia="Times New Roman" w:cstheme="minorHAnsi"/>
          <w:lang w:val="hr-HR" w:eastAsia="hr-HR"/>
        </w:rPr>
      </w:pPr>
      <w:r w:rsidRPr="004259D0">
        <w:rPr>
          <w:rFonts w:eastAsia="Times New Roman" w:cstheme="minorHAnsi"/>
          <w:lang w:val="hr-HR" w:eastAsia="hr-HR"/>
        </w:rPr>
        <w:t>Istim zakonom se propisuje godišnja osnovica članovima uprave i izvršnim direktorima trgovačkih društava te upraviteljima zadruga koji nisu osigurani po toj osnovi i to kao umnožak prosječne plaće, koeficijenta 0,65 i brojke 12 razmjerno razdoblj</w:t>
      </w:r>
      <w:r w:rsidR="009B3CF2" w:rsidRPr="004259D0">
        <w:rPr>
          <w:rFonts w:eastAsia="Times New Roman" w:cstheme="minorHAnsi"/>
          <w:lang w:val="hr-HR" w:eastAsia="hr-HR"/>
        </w:rPr>
        <w:t xml:space="preserve">u u kojem je dužnost obavljana, s </w:t>
      </w:r>
      <w:r w:rsidRPr="004259D0">
        <w:rPr>
          <w:rFonts w:eastAsia="Times New Roman" w:cstheme="minorHAnsi"/>
          <w:lang w:val="hr-HR" w:eastAsia="hr-HR"/>
        </w:rPr>
        <w:t>primjen</w:t>
      </w:r>
      <w:r w:rsidR="009B3CF2" w:rsidRPr="004259D0">
        <w:rPr>
          <w:rFonts w:eastAsia="Times New Roman" w:cstheme="minorHAnsi"/>
          <w:lang w:val="hr-HR" w:eastAsia="hr-HR"/>
        </w:rPr>
        <w:t xml:space="preserve">om od 1. siječnja </w:t>
      </w:r>
      <w:r w:rsidR="006A00C4" w:rsidRPr="004259D0">
        <w:rPr>
          <w:rFonts w:eastAsia="Times New Roman" w:cstheme="minorHAnsi"/>
          <w:lang w:val="hr-HR" w:eastAsia="hr-HR"/>
        </w:rPr>
        <w:t>2019</w:t>
      </w:r>
      <w:r w:rsidRPr="004259D0">
        <w:rPr>
          <w:rFonts w:eastAsia="Times New Roman" w:cstheme="minorHAnsi"/>
          <w:lang w:val="hr-HR" w:eastAsia="hr-HR"/>
        </w:rPr>
        <w:t>.</w:t>
      </w:r>
    </w:p>
    <w:p w14:paraId="7DCB2B69" w14:textId="77777777" w:rsidR="007E7637" w:rsidRPr="004259D0" w:rsidRDefault="007E7637" w:rsidP="00BB6C59">
      <w:pPr>
        <w:spacing w:before="240" w:after="0" w:line="240" w:lineRule="auto"/>
        <w:jc w:val="both"/>
        <w:rPr>
          <w:rFonts w:eastAsia="Times New Roman" w:cstheme="minorHAnsi"/>
          <w:lang w:val="hr-HR" w:eastAsia="hr-HR"/>
        </w:rPr>
      </w:pPr>
    </w:p>
    <w:p w14:paraId="764D605D" w14:textId="3D8BA24A" w:rsidR="007E7637" w:rsidRPr="004259D0" w:rsidRDefault="00A70CE7" w:rsidP="007E7637">
      <w:pPr>
        <w:jc w:val="both"/>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Promjene u poreznom tretmanu trošarina</w:t>
      </w:r>
    </w:p>
    <w:p w14:paraId="620E45C7" w14:textId="6E5B5248" w:rsidR="00A70CE7" w:rsidRPr="004259D0" w:rsidRDefault="00A70CE7" w:rsidP="007E7637">
      <w:pPr>
        <w:spacing w:before="240"/>
        <w:jc w:val="both"/>
        <w:rPr>
          <w:lang w:val="hr-HR"/>
        </w:rPr>
      </w:pPr>
      <w:r w:rsidRPr="004259D0">
        <w:rPr>
          <w:lang w:val="hr-HR"/>
        </w:rPr>
        <w:t>Zakon</w:t>
      </w:r>
      <w:r w:rsidR="00C256C6" w:rsidRPr="004259D0">
        <w:rPr>
          <w:lang w:val="hr-HR"/>
        </w:rPr>
        <w:t>om</w:t>
      </w:r>
      <w:r w:rsidRPr="004259D0">
        <w:rPr>
          <w:lang w:val="hr-HR"/>
        </w:rPr>
        <w:t xml:space="preserve"> o trošarinama</w:t>
      </w:r>
      <w:r w:rsidR="00C256C6" w:rsidRPr="004259D0">
        <w:rPr>
          <w:rStyle w:val="FootnoteReference"/>
          <w:lang w:val="hr-HR"/>
        </w:rPr>
        <w:footnoteReference w:id="48"/>
      </w:r>
      <w:r w:rsidRPr="004259D0">
        <w:rPr>
          <w:lang w:val="hr-HR"/>
        </w:rPr>
        <w:t xml:space="preserve"> uveden je institut povrata dijela plaćene trošarine na energente (dizelsko gorivo) ko</w:t>
      </w:r>
      <w:r w:rsidR="00C256C6" w:rsidRPr="004259D0">
        <w:rPr>
          <w:lang w:val="hr-HR"/>
        </w:rPr>
        <w:t>j</w:t>
      </w:r>
      <w:r w:rsidRPr="004259D0">
        <w:rPr>
          <w:lang w:val="hr-HR"/>
        </w:rPr>
        <w:t xml:space="preserve">i se koriste kao pogonsko gorivo za komercijalni prijevoz robe kamionima od najmanje 7,5 bruto tona nosivosti, te za komercijalni prijevoz putnika autobusima. </w:t>
      </w:r>
      <w:r w:rsidR="005968DC" w:rsidRPr="004259D0">
        <w:rPr>
          <w:lang w:val="hr-HR"/>
        </w:rPr>
        <w:t>Cilj je u najvećoj mjeri isključiti utjecaj trošarine na energente u procesu distribucije i dobave robe te prijevoza putnika, odnosno smanjenje troškova prijevoznika.</w:t>
      </w:r>
    </w:p>
    <w:p w14:paraId="59FBDDDE" w14:textId="78849001" w:rsidR="005968DC" w:rsidRPr="004259D0" w:rsidRDefault="005968DC" w:rsidP="005968DC">
      <w:pPr>
        <w:spacing w:before="240"/>
        <w:jc w:val="both"/>
        <w:rPr>
          <w:lang w:val="hr-HR"/>
        </w:rPr>
      </w:pPr>
      <w:r w:rsidRPr="004259D0">
        <w:rPr>
          <w:lang w:val="hr-HR"/>
        </w:rPr>
        <w:t>Donošenjem Uredbe o visini trošarine na cigarete, sitno rezani duhan za savijanje cigareta i ostali duhan za pušenje</w:t>
      </w:r>
      <w:r w:rsidR="00C256C6" w:rsidRPr="004259D0">
        <w:rPr>
          <w:rStyle w:val="FootnoteReference"/>
          <w:lang w:val="hr-HR"/>
        </w:rPr>
        <w:footnoteReference w:id="49"/>
      </w:r>
      <w:r w:rsidRPr="004259D0">
        <w:rPr>
          <w:lang w:val="hr-HR"/>
        </w:rPr>
        <w:t xml:space="preserve"> mijenja se visina trošarine na cigarete tako da sada specifična trošarina iznosi 335</w:t>
      </w:r>
      <w:r w:rsidR="000F623E" w:rsidRPr="004259D0">
        <w:rPr>
          <w:lang w:val="hr-HR"/>
        </w:rPr>
        <w:t xml:space="preserve"> kuna za 1000 </w:t>
      </w:r>
      <w:r w:rsidRPr="004259D0">
        <w:rPr>
          <w:lang w:val="hr-HR"/>
        </w:rPr>
        <w:t xml:space="preserve">komada cigareta, proporcionalna trošarina iznosi </w:t>
      </w:r>
      <w:r w:rsidR="009922B0" w:rsidRPr="004259D0">
        <w:rPr>
          <w:lang w:val="hr-HR"/>
        </w:rPr>
        <w:t>34</w:t>
      </w:r>
      <w:r w:rsidRPr="004259D0">
        <w:rPr>
          <w:lang w:val="hr-HR"/>
        </w:rPr>
        <w:t>% od maloprodajne cijene cigareta, te minimalna trošarina na cigarete 755</w:t>
      </w:r>
      <w:r w:rsidR="000F623E" w:rsidRPr="004259D0">
        <w:rPr>
          <w:lang w:val="hr-HR"/>
        </w:rPr>
        <w:t xml:space="preserve"> </w:t>
      </w:r>
      <w:r w:rsidRPr="004259D0">
        <w:rPr>
          <w:lang w:val="hr-HR"/>
        </w:rPr>
        <w:t>kuna za 1000 komada cigareta. Visina trošarine na sitno rezani duhan za savijanje cigareta i ostali duhan za pušenje se ne mijenja te i dalje iznosi 600 kuna za 1 kilogram.</w:t>
      </w:r>
    </w:p>
    <w:p w14:paraId="354CC064" w14:textId="77777777" w:rsidR="00BB13F4" w:rsidRPr="004259D0" w:rsidRDefault="00BB13F4" w:rsidP="00BB6C59">
      <w:pPr>
        <w:spacing w:before="240" w:after="0"/>
        <w:jc w:val="both"/>
        <w:rPr>
          <w:rFonts w:cstheme="minorHAnsi"/>
          <w:lang w:val="hr-HR"/>
        </w:rPr>
      </w:pPr>
    </w:p>
    <w:p w14:paraId="5C7D872E" w14:textId="77777777" w:rsidR="00BB6C59" w:rsidRPr="004259D0" w:rsidRDefault="00BB6C59" w:rsidP="00BB13F4">
      <w:pPr>
        <w:jc w:val="both"/>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Promjene u Općem poreznom zakonu</w:t>
      </w:r>
    </w:p>
    <w:p w14:paraId="5E3D636C" w14:textId="695632E3" w:rsidR="00BB6C59" w:rsidRPr="004259D0" w:rsidRDefault="00BB6C59" w:rsidP="00BB13F4">
      <w:pPr>
        <w:jc w:val="both"/>
        <w:rPr>
          <w:rFonts w:eastAsia="Times New Roman" w:cstheme="minorHAnsi"/>
          <w:color w:val="000000"/>
          <w:lang w:val="hr-HR" w:eastAsia="hr-HR"/>
        </w:rPr>
      </w:pPr>
      <w:r w:rsidRPr="004259D0">
        <w:rPr>
          <w:rFonts w:eastAsia="Times New Roman" w:cstheme="minorHAnsi"/>
          <w:color w:val="000000"/>
          <w:lang w:val="hr-HR" w:eastAsia="hr-HR"/>
        </w:rPr>
        <w:t>Izmjenama i</w:t>
      </w:r>
      <w:r w:rsidR="00E67D7B" w:rsidRPr="004259D0">
        <w:rPr>
          <w:rFonts w:eastAsia="Times New Roman" w:cstheme="minorHAnsi"/>
          <w:color w:val="000000"/>
          <w:lang w:val="hr-HR" w:eastAsia="hr-HR"/>
        </w:rPr>
        <w:t xml:space="preserve"> dopunama Općeg poreznog zakona</w:t>
      </w:r>
      <w:r w:rsidRPr="004259D0">
        <w:rPr>
          <w:rStyle w:val="FootnoteReference"/>
          <w:rFonts w:eastAsia="Times New Roman" w:cstheme="minorHAnsi"/>
          <w:color w:val="000000"/>
          <w:lang w:val="hr-HR" w:eastAsia="hr-HR"/>
        </w:rPr>
        <w:footnoteReference w:id="50"/>
      </w:r>
      <w:r w:rsidRPr="004259D0">
        <w:rPr>
          <w:rFonts w:eastAsia="Times New Roman" w:cstheme="minorHAnsi"/>
          <w:color w:val="000000"/>
          <w:lang w:val="hr-HR" w:eastAsia="hr-HR"/>
        </w:rPr>
        <w:t xml:space="preserve"> </w:t>
      </w:r>
      <w:r w:rsidR="00E67D7B" w:rsidRPr="004259D0">
        <w:rPr>
          <w:rFonts w:eastAsia="Times New Roman" w:cstheme="minorHAnsi"/>
          <w:color w:val="000000"/>
          <w:lang w:val="hr-HR" w:eastAsia="hr-HR"/>
        </w:rPr>
        <w:t>(</w:t>
      </w:r>
      <w:r w:rsidR="00464C23" w:rsidRPr="004259D0">
        <w:rPr>
          <w:rFonts w:eastAsia="Times New Roman" w:cstheme="minorHAnsi"/>
          <w:color w:val="000000"/>
          <w:lang w:val="hr-HR" w:eastAsia="hr-HR"/>
        </w:rPr>
        <w:t xml:space="preserve">u </w:t>
      </w:r>
      <w:r w:rsidR="00E67D7B" w:rsidRPr="004259D0">
        <w:rPr>
          <w:rFonts w:eastAsia="Times New Roman" w:cstheme="minorHAnsi"/>
          <w:color w:val="000000"/>
          <w:lang w:val="hr-HR" w:eastAsia="hr-HR"/>
        </w:rPr>
        <w:t>dalj</w:t>
      </w:r>
      <w:r w:rsidR="00464C23" w:rsidRPr="004259D0">
        <w:rPr>
          <w:rFonts w:eastAsia="Times New Roman" w:cstheme="minorHAnsi"/>
          <w:color w:val="000000"/>
          <w:lang w:val="hr-HR" w:eastAsia="hr-HR"/>
        </w:rPr>
        <w:t>nj</w:t>
      </w:r>
      <w:r w:rsidR="00E67D7B" w:rsidRPr="004259D0">
        <w:rPr>
          <w:rFonts w:eastAsia="Times New Roman" w:cstheme="minorHAnsi"/>
          <w:color w:val="000000"/>
          <w:lang w:val="hr-HR" w:eastAsia="hr-HR"/>
        </w:rPr>
        <w:t>e</w:t>
      </w:r>
      <w:r w:rsidR="00464C23" w:rsidRPr="004259D0">
        <w:rPr>
          <w:rFonts w:eastAsia="Times New Roman" w:cstheme="minorHAnsi"/>
          <w:color w:val="000000"/>
          <w:lang w:val="hr-HR" w:eastAsia="hr-HR"/>
        </w:rPr>
        <w:t>m</w:t>
      </w:r>
      <w:r w:rsidR="00E67D7B" w:rsidRPr="004259D0">
        <w:rPr>
          <w:rFonts w:eastAsia="Times New Roman" w:cstheme="minorHAnsi"/>
          <w:color w:val="000000"/>
          <w:lang w:val="hr-HR" w:eastAsia="hr-HR"/>
        </w:rPr>
        <w:t xml:space="preserve"> tekstu: OPZ) </w:t>
      </w:r>
      <w:r w:rsidRPr="004259D0">
        <w:rPr>
          <w:rFonts w:eastAsia="Times New Roman" w:cstheme="minorHAnsi"/>
          <w:color w:val="000000"/>
          <w:lang w:val="hr-HR" w:eastAsia="hr-HR"/>
        </w:rPr>
        <w:t>dorađeni su mnogi instituti zbog digitalizacije i naprednih načina komunikacije između poreznog obveznika i poreznog tijela.</w:t>
      </w:r>
      <w:r w:rsidR="009922B0" w:rsidRPr="004259D0">
        <w:rPr>
          <w:rFonts w:eastAsia="Times New Roman" w:cstheme="minorHAnsi"/>
          <w:color w:val="000000"/>
          <w:lang w:val="hr-HR" w:eastAsia="hr-HR"/>
        </w:rPr>
        <w:t xml:space="preserve"> Ta</w:t>
      </w:r>
      <w:r w:rsidR="0055561F" w:rsidRPr="004259D0">
        <w:rPr>
          <w:rFonts w:eastAsia="Times New Roman" w:cstheme="minorHAnsi"/>
          <w:color w:val="000000"/>
          <w:lang w:val="hr-HR" w:eastAsia="hr-HR"/>
        </w:rPr>
        <w:t>ko se o</w:t>
      </w:r>
      <w:r w:rsidRPr="004259D0">
        <w:rPr>
          <w:rFonts w:eastAsia="Times New Roman" w:cstheme="minorHAnsi"/>
          <w:color w:val="000000"/>
          <w:lang w:val="hr-HR" w:eastAsia="hr-HR"/>
        </w:rPr>
        <w:t xml:space="preserve">d 1. siječnja 2019. obvezujuća mišljenja mogu zatražiti od poreznog tijela neovisno o temi i poreznom obliku, </w:t>
      </w:r>
      <w:r w:rsidR="0055561F" w:rsidRPr="004259D0">
        <w:rPr>
          <w:rFonts w:eastAsia="Times New Roman" w:cstheme="minorHAnsi"/>
          <w:color w:val="000000"/>
          <w:lang w:val="hr-HR" w:eastAsia="hr-HR"/>
        </w:rPr>
        <w:t xml:space="preserve">a </w:t>
      </w:r>
      <w:r w:rsidRPr="004259D0">
        <w:rPr>
          <w:rFonts w:eastAsia="Times New Roman" w:cstheme="minorHAnsi"/>
          <w:color w:val="000000"/>
          <w:lang w:val="hr-HR" w:eastAsia="hr-HR"/>
        </w:rPr>
        <w:t xml:space="preserve">jedini preduvjet je da se radi o budućoj i namjeravanoj transakciji. </w:t>
      </w:r>
      <w:r w:rsidR="0055561F" w:rsidRPr="004259D0">
        <w:rPr>
          <w:rFonts w:eastAsia="Times New Roman" w:cstheme="minorHAnsi"/>
          <w:color w:val="000000"/>
          <w:lang w:val="hr-HR" w:eastAsia="hr-HR"/>
        </w:rPr>
        <w:t>Nadalje, o</w:t>
      </w:r>
      <w:r w:rsidRPr="004259D0">
        <w:rPr>
          <w:rFonts w:eastAsia="Times New Roman" w:cstheme="minorHAnsi"/>
          <w:color w:val="000000"/>
          <w:lang w:val="hr-HR" w:eastAsia="hr-HR"/>
        </w:rPr>
        <w:t xml:space="preserve">dredbama </w:t>
      </w:r>
      <w:r w:rsidR="00D002E9" w:rsidRPr="004259D0">
        <w:rPr>
          <w:rFonts w:eastAsia="Times New Roman" w:cstheme="minorHAnsi"/>
          <w:color w:val="000000"/>
          <w:lang w:val="hr-HR" w:eastAsia="hr-HR"/>
        </w:rPr>
        <w:t>OPZ-a propisuje se mogućnost da</w:t>
      </w:r>
      <w:r w:rsidRPr="004259D0">
        <w:rPr>
          <w:rFonts w:eastAsia="Times New Roman" w:cstheme="minorHAnsi"/>
          <w:color w:val="000000"/>
          <w:lang w:val="hr-HR" w:eastAsia="hr-HR"/>
        </w:rPr>
        <w:t xml:space="preserve"> nadležno tijelo poslovnom subjektu koji obavlja djelatnost</w:t>
      </w:r>
      <w:r w:rsidR="0055561F" w:rsidRPr="004259D0">
        <w:rPr>
          <w:rFonts w:eastAsia="Times New Roman" w:cstheme="minorHAnsi"/>
          <w:color w:val="000000"/>
          <w:lang w:val="hr-HR" w:eastAsia="hr-HR"/>
        </w:rPr>
        <w:t>,</w:t>
      </w:r>
      <w:r w:rsidRPr="004259D0">
        <w:rPr>
          <w:rFonts w:eastAsia="Times New Roman" w:cstheme="minorHAnsi"/>
          <w:color w:val="000000"/>
          <w:lang w:val="hr-HR" w:eastAsia="hr-HR"/>
        </w:rPr>
        <w:t xml:space="preserve"> uz izbjegavanje ispunjavanja propisanih uvjeta</w:t>
      </w:r>
      <w:r w:rsidR="0055561F" w:rsidRPr="004259D0">
        <w:rPr>
          <w:rFonts w:eastAsia="Times New Roman" w:cstheme="minorHAnsi"/>
          <w:color w:val="000000"/>
          <w:lang w:val="hr-HR" w:eastAsia="hr-HR"/>
        </w:rPr>
        <w:t>,</w:t>
      </w:r>
      <w:r w:rsidRPr="004259D0">
        <w:rPr>
          <w:rFonts w:eastAsia="Times New Roman" w:cstheme="minorHAnsi"/>
          <w:color w:val="000000"/>
          <w:lang w:val="hr-HR" w:eastAsia="hr-HR"/>
        </w:rPr>
        <w:t xml:space="preserve"> zabrani rad blokadom internetske stranice.</w:t>
      </w:r>
      <w:r w:rsidR="0055561F" w:rsidRPr="004259D0">
        <w:rPr>
          <w:rFonts w:eastAsia="Times New Roman" w:cstheme="minorHAnsi"/>
          <w:color w:val="000000"/>
          <w:lang w:val="hr-HR" w:eastAsia="hr-HR"/>
        </w:rPr>
        <w:t xml:space="preserve"> </w:t>
      </w:r>
      <w:r w:rsidRPr="004259D0">
        <w:rPr>
          <w:rFonts w:eastAsia="Times New Roman" w:cstheme="minorHAnsi"/>
          <w:color w:val="000000"/>
          <w:lang w:val="hr-HR" w:eastAsia="hr-HR"/>
        </w:rPr>
        <w:t>Propisano je i da porezni obveznici koji elektronički komuniciraju s poreznim tijelom povremeno i za manje iznose poreza mogu koristiti sustav s nižim razinama identifikacije.</w:t>
      </w:r>
      <w:r w:rsidR="0055561F" w:rsidRPr="004259D0">
        <w:rPr>
          <w:rFonts w:eastAsia="Times New Roman" w:cstheme="minorHAnsi"/>
          <w:color w:val="000000"/>
          <w:lang w:val="hr-HR" w:eastAsia="hr-HR"/>
        </w:rPr>
        <w:t xml:space="preserve"> </w:t>
      </w:r>
      <w:r w:rsidRPr="004259D0">
        <w:rPr>
          <w:rFonts w:eastAsia="Times New Roman" w:cstheme="minorHAnsi"/>
          <w:color w:val="000000"/>
          <w:lang w:val="hr-HR" w:eastAsia="hr-HR"/>
        </w:rPr>
        <w:t xml:space="preserve">Kod obrasca OPZ-STAT smanjuje se dinamika izvješćivanja, pri čemu se spomenuti obrazac podnosi jednom godišnje te se tako smanjuje administrativno opterećenje poduzetnika. Stvoreni su </w:t>
      </w:r>
      <w:r w:rsidR="0055561F" w:rsidRPr="004259D0">
        <w:rPr>
          <w:rFonts w:eastAsia="Times New Roman" w:cstheme="minorHAnsi"/>
          <w:color w:val="000000"/>
          <w:lang w:val="hr-HR" w:eastAsia="hr-HR"/>
        </w:rPr>
        <w:t xml:space="preserve">i </w:t>
      </w:r>
      <w:r w:rsidRPr="004259D0">
        <w:rPr>
          <w:rFonts w:eastAsia="Times New Roman" w:cstheme="minorHAnsi"/>
          <w:color w:val="000000"/>
          <w:lang w:val="hr-HR" w:eastAsia="hr-HR"/>
        </w:rPr>
        <w:t>pravni preduvjeti da se porezna rješenja ovjeravaju elektroničkim potpisom ili elektroničkim pečatom poreznog tijela.</w:t>
      </w:r>
    </w:p>
    <w:p w14:paraId="741C1533" w14:textId="77777777" w:rsidR="00BB13F4" w:rsidRPr="004259D0" w:rsidRDefault="00BB13F4" w:rsidP="00BB13F4">
      <w:pPr>
        <w:jc w:val="both"/>
        <w:rPr>
          <w:rFonts w:eastAsia="Times New Roman" w:cstheme="minorHAnsi"/>
          <w:color w:val="000000"/>
          <w:lang w:val="hr-HR" w:eastAsia="hr-HR"/>
        </w:rPr>
      </w:pPr>
    </w:p>
    <w:p w14:paraId="7466461A" w14:textId="77777777" w:rsidR="00E0472E" w:rsidRPr="004259D0" w:rsidRDefault="00E0472E" w:rsidP="00BD67DA">
      <w:pPr>
        <w:jc w:val="both"/>
        <w:rPr>
          <w:lang w:val="hr-HR"/>
        </w:rPr>
      </w:pPr>
    </w:p>
    <w:p w14:paraId="129C47F6" w14:textId="77777777" w:rsidR="00BD67DA" w:rsidRPr="004259D0" w:rsidRDefault="00BD67DA" w:rsidP="008160DF">
      <w:pPr>
        <w:pStyle w:val="Heading2"/>
        <w:numPr>
          <w:ilvl w:val="1"/>
          <w:numId w:val="1"/>
        </w:numPr>
        <w:rPr>
          <w:lang w:val="hr-HR"/>
        </w:rPr>
      </w:pPr>
      <w:bookmarkStart w:id="56" w:name="_Toc6418630"/>
      <w:r w:rsidRPr="004259D0">
        <w:rPr>
          <w:lang w:val="hr-HR"/>
        </w:rPr>
        <w:t xml:space="preserve">Mjere </w:t>
      </w:r>
      <w:r w:rsidR="00F909E6" w:rsidRPr="004259D0">
        <w:rPr>
          <w:lang w:val="hr-HR"/>
        </w:rPr>
        <w:t>za poboljšanje učinkovitosti rashoda</w:t>
      </w:r>
      <w:r w:rsidRPr="004259D0">
        <w:rPr>
          <w:lang w:val="hr-HR"/>
        </w:rPr>
        <w:t xml:space="preserve"> proračuna</w:t>
      </w:r>
      <w:bookmarkEnd w:id="56"/>
    </w:p>
    <w:p w14:paraId="10816D3B" w14:textId="77777777" w:rsidR="00E0472E" w:rsidRPr="004259D0" w:rsidRDefault="00E0472E" w:rsidP="00790A78">
      <w:pPr>
        <w:rPr>
          <w:lang w:val="hr-HR"/>
        </w:rPr>
      </w:pPr>
    </w:p>
    <w:p w14:paraId="50482123" w14:textId="77777777" w:rsidR="00E730F5" w:rsidRPr="004259D0" w:rsidRDefault="00E730F5" w:rsidP="00E730F5">
      <w:pPr>
        <w:jc w:val="both"/>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Zakon o Državnom uredu za reviziju</w:t>
      </w:r>
    </w:p>
    <w:p w14:paraId="7A2C1819" w14:textId="77777777" w:rsidR="00E730F5" w:rsidRPr="004259D0" w:rsidRDefault="00E730F5" w:rsidP="00E730F5">
      <w:pPr>
        <w:jc w:val="both"/>
        <w:rPr>
          <w:lang w:val="hr-HR"/>
        </w:rPr>
      </w:pPr>
      <w:r w:rsidRPr="004259D0">
        <w:rPr>
          <w:lang w:val="hr-HR"/>
        </w:rPr>
        <w:t>Sukladno novom Zakonu o Državnom uredu za reviziju</w:t>
      </w:r>
      <w:r w:rsidRPr="004259D0">
        <w:rPr>
          <w:rStyle w:val="FootnoteReference"/>
          <w:lang w:val="hr-HR"/>
        </w:rPr>
        <w:footnoteReference w:id="51"/>
      </w:r>
      <w:r w:rsidRPr="004259D0">
        <w:rPr>
          <w:lang w:val="hr-HR"/>
        </w:rPr>
        <w:t xml:space="preserve"> koji je stupio na snagu u ožujku 2019.</w:t>
      </w:r>
      <w:r w:rsidR="009B4ACE" w:rsidRPr="004259D0">
        <w:rPr>
          <w:lang w:val="hr-HR"/>
        </w:rPr>
        <w:t xml:space="preserve"> godine</w:t>
      </w:r>
      <w:r w:rsidRPr="004259D0">
        <w:rPr>
          <w:lang w:val="hr-HR"/>
        </w:rPr>
        <w:t xml:space="preserve">, ova institucija će samostalno planirati sredstva potrebna za svoj rad, a što je u skladu s načelom financijske neovisnosti propisane Limskom i Meksičkom deklaracijom te Etičkim kodeksom. Najkasnije do 1. lipnja tekuće godine Državni ured za reviziju će izrađivati prijedlog financijskog plana za iduću godinu i projekcije za sljedeće dvije godine i dostavljati ga odboru Hrvatskog sabora nadležnom za financije i državni proračun te Ministarstvu financija. Nakon što Ministarstvo financija zaprimi spomenuti dokument, Vlada RH će na prijedlog Ministarstva financija, dati o njemu svoje mišljenje te ga dostaviti spomenutom odboru Hrvatskog sabora. </w:t>
      </w:r>
    </w:p>
    <w:p w14:paraId="08A575DD" w14:textId="77777777" w:rsidR="00E730F5" w:rsidRPr="004259D0" w:rsidRDefault="00E730F5" w:rsidP="00E730F5">
      <w:pPr>
        <w:jc w:val="both"/>
        <w:rPr>
          <w:lang w:val="hr-HR"/>
        </w:rPr>
      </w:pPr>
      <w:r w:rsidRPr="004259D0">
        <w:rPr>
          <w:lang w:val="hr-HR"/>
        </w:rPr>
        <w:t>Ključna novost je da odbor Hrvatskog sabora nadležan za financije i državni proračun odobrava prijedlog financijskog plana za iduću godinu i projekcija za sljedeće dvije godine do kraja lipnja tekuće godine i upućuje ga Ministarstvu financija radi uvrštavanja u prijedlog državnog proračuna RH te ga dostavlja Državnom uredu za reviziju. Ovakav način planiranja sredstava je u skladu s načelom 8. ISSAI 10, prema kojem zakonodavna vlast ima odgovornost osigurati da čelna revizijska institucija ima prikladne resurse za ispunjenje svog mandata, a s druge strane opravdan je i činjenicom da Državni ured za reviziju ima poseban status sukladno Ustavu RH.</w:t>
      </w:r>
    </w:p>
    <w:p w14:paraId="4EA75FA6" w14:textId="77777777" w:rsidR="00E730F5" w:rsidRPr="004259D0" w:rsidRDefault="00E730F5" w:rsidP="00E730F5">
      <w:pPr>
        <w:jc w:val="both"/>
        <w:rPr>
          <w:lang w:val="hr-HR"/>
        </w:rPr>
      </w:pPr>
      <w:r w:rsidRPr="004259D0">
        <w:rPr>
          <w:lang w:val="hr-HR"/>
        </w:rPr>
        <w:t>Uz to, u novom je Zakonu detaljnije razrađeno postupanje nakon završetka revizije s posebnim naglaskom na obveze revidiranog subjekta, posebice na praćenje postupanja po planu provedbe naloga i preporuka. U tom smislu, subjekt revizije, odnosno subjekt na kojega se odnosi dani nalog i/ili preporuka obvezan je u pisanom obliku izvijestiti Državni ured za reviziju o izvršenju pojedinog naloga ili preporuke u roku od 30 dana od isteka planiranog vremena izvršenja. Istodobno, Državni ured za reviziju provjerava provedbu naloga i preporuka u okviru provedbe revizija. Ako u takvim postupcima utvrdi da određeni nalozi i preporuke nisu provedeni ili da subjekt revizije nije dostavio plan provedbe naloga i preporuka u propisanom roku, Državni ured za reviziju će obavijestiti nadležno državno odvjetništvo koje će pokretati prekršajni postupak.</w:t>
      </w:r>
    </w:p>
    <w:p w14:paraId="060D3E46" w14:textId="77777777" w:rsidR="00E730F5" w:rsidRPr="004259D0" w:rsidRDefault="00E730F5" w:rsidP="00E730F5">
      <w:pPr>
        <w:jc w:val="both"/>
        <w:rPr>
          <w:lang w:val="hr-HR"/>
        </w:rPr>
      </w:pPr>
      <w:r w:rsidRPr="004259D0">
        <w:rPr>
          <w:lang w:val="hr-HR"/>
        </w:rPr>
        <w:t>Prema novom zakonodavnom okviru, Državni ured za reviziju će biti nadležan i za reviziju Hrvatske narodne banke. Europska središnja banka je u svom mišljenju utvrdila kako je predloženo uređenje u skladu s načelom neovisnosti središnje banke, uključujući i njenu institucionalnu neovisnost. Provedba Zakona o Državnom uredu za reviziju doprinosi zakonitom, namjenskom i svrhovitom korištenju proračunskih sredstava i sredstava koja se prikupljaju na temelju javnih ovlasti, te učinkovitom i djelotvornom funkcioniranju sustava unutarnjih kontrola.</w:t>
      </w:r>
    </w:p>
    <w:p w14:paraId="451AA42C" w14:textId="77777777" w:rsidR="00E730F5" w:rsidRPr="004259D0" w:rsidRDefault="00E730F5" w:rsidP="00E730F5">
      <w:pPr>
        <w:jc w:val="both"/>
        <w:rPr>
          <w:lang w:val="hr-HR"/>
        </w:rPr>
      </w:pPr>
    </w:p>
    <w:p w14:paraId="2A191449" w14:textId="77777777" w:rsidR="00E730F5" w:rsidRPr="004259D0" w:rsidRDefault="00E730F5" w:rsidP="00E730F5">
      <w:pPr>
        <w:jc w:val="both"/>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Učinkovitiji sustav financijskog i statističkog planiranja i izvještavanja izvanproračunskih korisnika iz sektora prometa</w:t>
      </w:r>
    </w:p>
    <w:p w14:paraId="1F2C085E" w14:textId="189008A5" w:rsidR="00E730F5" w:rsidRPr="004259D0" w:rsidRDefault="00E730F5" w:rsidP="00E730F5">
      <w:pPr>
        <w:jc w:val="both"/>
        <w:rPr>
          <w:lang w:val="hr-HR"/>
        </w:rPr>
      </w:pPr>
      <w:r w:rsidRPr="004259D0">
        <w:rPr>
          <w:lang w:val="hr-HR"/>
        </w:rPr>
        <w:t>Prema odredbama Zakona o proračunu</w:t>
      </w:r>
      <w:r w:rsidRPr="004259D0">
        <w:rPr>
          <w:rStyle w:val="FootnoteReference"/>
          <w:lang w:val="hr-HR"/>
        </w:rPr>
        <w:footnoteReference w:id="52"/>
      </w:r>
      <w:r w:rsidRPr="004259D0">
        <w:rPr>
          <w:lang w:val="hr-HR"/>
        </w:rPr>
        <w:t xml:space="preserve"> izvanproračunski korisnici, trgovačka društva i druge pravne osobe u kojima država odnosno </w:t>
      </w:r>
      <w:r w:rsidR="004C1BB8" w:rsidRPr="004259D0">
        <w:rPr>
          <w:lang w:val="hr-HR"/>
        </w:rPr>
        <w:t xml:space="preserve">JLP(R)S </w:t>
      </w:r>
      <w:r w:rsidRPr="004259D0">
        <w:rPr>
          <w:lang w:val="hr-HR"/>
        </w:rPr>
        <w:t>ima odlučujući utjecaj na upravljanje i koji se sukladno pravilima statističke metodologije EU (ESA 2010) razvrstavaju u sektor općeg proračuna, a nisu proračunski korisnici, smatraju se izvanproračunskim korisnicima. Među najznačajnijima po veličini utjecaja na fiskalni saldo općeg proračuna odnosno na javni dug ističu se trgovačka društva iz sektora prometa: Hrvatske autoceste d.o.o</w:t>
      </w:r>
      <w:r w:rsidR="00FE6F63" w:rsidRPr="004259D0">
        <w:rPr>
          <w:lang w:val="hr-HR"/>
        </w:rPr>
        <w:t xml:space="preserve"> (u daljnjem tekstu: HAC).</w:t>
      </w:r>
      <w:r w:rsidRPr="004259D0">
        <w:rPr>
          <w:lang w:val="hr-HR"/>
        </w:rPr>
        <w:t>, Autocesta Rijeka-Zagreb d.d.</w:t>
      </w:r>
      <w:r w:rsidR="00FE6F63" w:rsidRPr="004259D0">
        <w:rPr>
          <w:lang w:val="hr-HR"/>
        </w:rPr>
        <w:t xml:space="preserve"> (u daljnjem tekstu: ARZ)</w:t>
      </w:r>
      <w:r w:rsidRPr="004259D0">
        <w:rPr>
          <w:lang w:val="hr-HR"/>
        </w:rPr>
        <w:t>, H</w:t>
      </w:r>
      <w:r w:rsidR="00FE6F63" w:rsidRPr="004259D0">
        <w:rPr>
          <w:lang w:val="hr-HR"/>
        </w:rPr>
        <w:t>rvat</w:t>
      </w:r>
      <w:r w:rsidR="00464C23" w:rsidRPr="004259D0">
        <w:rPr>
          <w:lang w:val="hr-HR"/>
        </w:rPr>
        <w:t>s</w:t>
      </w:r>
      <w:r w:rsidR="00FE6F63" w:rsidRPr="004259D0">
        <w:rPr>
          <w:lang w:val="hr-HR"/>
        </w:rPr>
        <w:t>ke</w:t>
      </w:r>
      <w:r w:rsidR="005D3B9A" w:rsidRPr="004259D0">
        <w:rPr>
          <w:lang w:val="hr-HR"/>
        </w:rPr>
        <w:t xml:space="preserve"> željeznice</w:t>
      </w:r>
      <w:r w:rsidRPr="004259D0">
        <w:rPr>
          <w:lang w:val="hr-HR"/>
        </w:rPr>
        <w:t xml:space="preserve"> Infrastruktura d.o.o</w:t>
      </w:r>
      <w:r w:rsidR="00FE6F63" w:rsidRPr="004259D0">
        <w:rPr>
          <w:lang w:val="hr-HR"/>
        </w:rPr>
        <w:t xml:space="preserve"> (u daljnjem tekstu: HŽI)</w:t>
      </w:r>
      <w:r w:rsidRPr="004259D0">
        <w:rPr>
          <w:lang w:val="hr-HR"/>
        </w:rPr>
        <w:t xml:space="preserve"> i </w:t>
      </w:r>
      <w:r w:rsidR="005D3B9A" w:rsidRPr="004259D0">
        <w:rPr>
          <w:lang w:val="hr-HR"/>
        </w:rPr>
        <w:t>Hrvat</w:t>
      </w:r>
      <w:r w:rsidR="00464C23" w:rsidRPr="004259D0">
        <w:rPr>
          <w:lang w:val="hr-HR"/>
        </w:rPr>
        <w:t>s</w:t>
      </w:r>
      <w:r w:rsidR="005D3B9A" w:rsidRPr="004259D0">
        <w:rPr>
          <w:lang w:val="hr-HR"/>
        </w:rPr>
        <w:t xml:space="preserve">ke željeznice </w:t>
      </w:r>
      <w:r w:rsidRPr="004259D0">
        <w:rPr>
          <w:lang w:val="hr-HR"/>
        </w:rPr>
        <w:t>Putnički prijevoz d.o.o.</w:t>
      </w:r>
      <w:r w:rsidR="005D3B9A" w:rsidRPr="004259D0">
        <w:rPr>
          <w:lang w:val="hr-HR"/>
        </w:rPr>
        <w:t xml:space="preserve"> (u daljnjem tekstu: HŽPP). </w:t>
      </w:r>
      <w:r w:rsidRPr="004259D0">
        <w:rPr>
          <w:lang w:val="hr-HR"/>
        </w:rPr>
        <w:t>Stoga se planira u prvoj fazi ujednačiti postupak planiranja i izvještavanja o izvršenju financijskih planova spomenutih korisnika s postojećim postupkom važećim za izvanproračunske korisnike. To uključuje i davanje suglasnosti Hrvatskog sabora na financijske planove i na izvještaje o izvršenju financijskih planova izvanproračunskih korisnika iz sektora prometa. U tom kontekstu njihovi podaci će se iskazivati prema pravilima proračunskog računovodstva. Uzimajući u obzir navedeno, predviđa se da će Hrvatski sabor po prvi puta dati suglasnost na financijske planove izvanproračunskih korisnika iz sektora prometa uz donošenje Državnog proračuna RH za 2020. i projekcije za 2021. i 2022. godinu.</w:t>
      </w:r>
    </w:p>
    <w:p w14:paraId="7749BB70" w14:textId="77777777" w:rsidR="00E730F5" w:rsidRPr="004259D0" w:rsidRDefault="00E730F5" w:rsidP="00E730F5">
      <w:pPr>
        <w:jc w:val="both"/>
        <w:rPr>
          <w:lang w:val="hr-HR"/>
        </w:rPr>
      </w:pPr>
    </w:p>
    <w:p w14:paraId="62A8A7DA" w14:textId="77777777" w:rsidR="00E730F5" w:rsidRPr="004259D0" w:rsidRDefault="00E730F5" w:rsidP="00E730F5">
      <w:pPr>
        <w:jc w:val="both"/>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Ex-post evaluacija učinaka odabranih aktivnosti u resoru zdravstva, vodnog gospodarstva i zaštite okoliša</w:t>
      </w:r>
    </w:p>
    <w:p w14:paraId="7B3C533F" w14:textId="77777777" w:rsidR="00E730F5" w:rsidRPr="004259D0" w:rsidRDefault="00E730F5" w:rsidP="00E730F5">
      <w:pPr>
        <w:jc w:val="both"/>
        <w:rPr>
          <w:lang w:val="hr-HR"/>
        </w:rPr>
      </w:pPr>
      <w:r w:rsidRPr="004259D0">
        <w:rPr>
          <w:lang w:val="hr-HR"/>
        </w:rPr>
        <w:t xml:space="preserve">U svrhu kontinuiranog unapređenja sustava proračunskog planiranja i bolje kontrole korištenja sredstava iz javnih izvora, uvedena je provedba ex-post evaluacije učinaka odabranih programa, aktivnosti ili projekata. Naglasak je na kontroli njihove učinkovitosti i utemeljenosti. To konkretno znači da se posebna pozornost posvećuje opravdanosti njihove provedbe, troškovnoj svrhovitosti (što obuhvaća i analizu troškova i koristi), optimizaciji te održivosti rezultata. Također, sagledavaju se i sveukupni </w:t>
      </w:r>
      <w:r w:rsidR="00336D1F" w:rsidRPr="004259D0">
        <w:rPr>
          <w:lang w:val="hr-HR"/>
        </w:rPr>
        <w:t>učinci</w:t>
      </w:r>
      <w:r w:rsidRPr="004259D0">
        <w:rPr>
          <w:lang w:val="hr-HR"/>
        </w:rPr>
        <w:t xml:space="preserve"> promatranih programa, aktivnosti ili projekata, uključujući njihove potencijalne pozitivne i negativne aspekte, odnosno rizike i razloge koji su do njih doveli. Prilikom odabira programa, aktivnosti i projekata koji su predmet </w:t>
      </w:r>
      <w:r w:rsidRPr="004259D0">
        <w:rPr>
          <w:i/>
          <w:lang w:val="hr-HR"/>
        </w:rPr>
        <w:t>ex-post</w:t>
      </w:r>
      <w:r w:rsidRPr="004259D0">
        <w:rPr>
          <w:lang w:val="hr-HR"/>
        </w:rPr>
        <w:t xml:space="preserve"> evaluacije uzima se u obzir nekoliko parametara, a posebice njihova fiskalna vrijednost, dugoročni vremenski okvir potreban za provedbu istih te visoka ocjena potencijalnih rizika. </w:t>
      </w:r>
    </w:p>
    <w:p w14:paraId="54529E28" w14:textId="56F5DFB6" w:rsidR="00E730F5" w:rsidRPr="004259D0" w:rsidRDefault="00E730F5" w:rsidP="00E730F5">
      <w:pPr>
        <w:jc w:val="both"/>
        <w:rPr>
          <w:lang w:val="hr-HR"/>
        </w:rPr>
      </w:pPr>
      <w:r w:rsidRPr="004259D0">
        <w:rPr>
          <w:lang w:val="hr-HR"/>
        </w:rPr>
        <w:t xml:space="preserve">U 2019. godini provest će se </w:t>
      </w:r>
      <w:r w:rsidRPr="004259D0">
        <w:rPr>
          <w:i/>
          <w:lang w:val="hr-HR"/>
        </w:rPr>
        <w:t>ex-post</w:t>
      </w:r>
      <w:r w:rsidRPr="004259D0">
        <w:rPr>
          <w:lang w:val="hr-HR"/>
        </w:rPr>
        <w:t xml:space="preserve"> evaluacija učinaka odabranih aktivnosti u resoru zdravstva, vodnog gospodarstva i zaštite okoliša. U sustavu zdravstva </w:t>
      </w:r>
      <w:r w:rsidRPr="004259D0">
        <w:rPr>
          <w:i/>
          <w:lang w:val="hr-HR"/>
        </w:rPr>
        <w:t>ex-post</w:t>
      </w:r>
      <w:r w:rsidRPr="004259D0">
        <w:rPr>
          <w:lang w:val="hr-HR"/>
        </w:rPr>
        <w:t xml:space="preserve"> evaluacija obuhvatit će aktivnosti lijekova na recepte i posebno skupih lijekova zbog značajnih sredstava koja se za njih izdvajaju. Naime, u 2017. godini ukupno izvršenje aktivnosti lijekovi na recepte i posebno skupi lijekovi iznosilo je 4,5 milijardi kuna ili 18,8% ukupno izvršenih rashoda Hrvatskog zavoda za zdravstveno osiguranje (</w:t>
      </w:r>
      <w:r w:rsidR="00464C23" w:rsidRPr="004259D0">
        <w:rPr>
          <w:lang w:val="hr-HR"/>
        </w:rPr>
        <w:t xml:space="preserve">u </w:t>
      </w:r>
      <w:r w:rsidRPr="004259D0">
        <w:rPr>
          <w:lang w:val="hr-HR"/>
        </w:rPr>
        <w:t>dalj</w:t>
      </w:r>
      <w:r w:rsidR="00464C23" w:rsidRPr="004259D0">
        <w:rPr>
          <w:lang w:val="hr-HR"/>
        </w:rPr>
        <w:t>njem</w:t>
      </w:r>
      <w:r w:rsidRPr="004259D0">
        <w:rPr>
          <w:lang w:val="hr-HR"/>
        </w:rPr>
        <w:t xml:space="preserve"> tekstu: HZZO). Osim što značajno </w:t>
      </w:r>
      <w:r w:rsidR="0047115F" w:rsidRPr="004259D0">
        <w:rPr>
          <w:lang w:val="hr-HR"/>
        </w:rPr>
        <w:t>sudjeluju</w:t>
      </w:r>
      <w:r w:rsidRPr="004259D0">
        <w:rPr>
          <w:lang w:val="hr-HR"/>
        </w:rPr>
        <w:t xml:space="preserve"> u ukupnom izvršenju financijskog plana HZZO-a, rashodi lijekova na recepte i posebno skupih lijekova bilježe kontinuiran i značajan međugodišnji rast. Primjerice u 2017. ukupno izvršenje ovih aktivnosti veće je za 8% u odnosu na 2016. godinu. </w:t>
      </w:r>
    </w:p>
    <w:p w14:paraId="008A518E" w14:textId="77777777" w:rsidR="00E730F5" w:rsidRPr="004259D0" w:rsidRDefault="00E730F5" w:rsidP="00E730F5">
      <w:pPr>
        <w:jc w:val="both"/>
        <w:rPr>
          <w:lang w:val="hr-HR"/>
        </w:rPr>
      </w:pPr>
      <w:r w:rsidRPr="004259D0">
        <w:rPr>
          <w:lang w:val="hr-HR"/>
        </w:rPr>
        <w:t xml:space="preserve">Isto tako, zbog značajnih fiskalnih izdvajanja s uočenim trendom rasta, u resorima vodnog gospodarstva i zaštite okoliša izvršit će se </w:t>
      </w:r>
      <w:r w:rsidRPr="004259D0">
        <w:rPr>
          <w:i/>
          <w:lang w:val="hr-HR"/>
        </w:rPr>
        <w:t>ex-post</w:t>
      </w:r>
      <w:r w:rsidRPr="004259D0">
        <w:rPr>
          <w:lang w:val="hr-HR"/>
        </w:rPr>
        <w:t xml:space="preserve"> evaluacija aktivnosti redovnog održavanja i obnavljanja vodotoka, vodnih građevina i vodnog dobra te aktivnosti gospodarenja s posebnim kategorijama otpada. Korištenje ovakvih i sličnih alata doprinijet će učinkovitijem korištenju javnih sredstava i racionalizaciji troškova, omogućit će identificiranje potencijalnih rizika te će otvoriti prostor za kvalitetniju provedbu pojedinog programa, aktivnosti i projekta.</w:t>
      </w:r>
    </w:p>
    <w:p w14:paraId="55677313" w14:textId="77777777" w:rsidR="00E730F5" w:rsidRPr="004259D0" w:rsidRDefault="00E730F5" w:rsidP="00E730F5">
      <w:pPr>
        <w:jc w:val="both"/>
        <w:rPr>
          <w:lang w:val="hr-HR"/>
        </w:rPr>
      </w:pPr>
    </w:p>
    <w:p w14:paraId="7CB68C79" w14:textId="77777777" w:rsidR="00E730F5" w:rsidRPr="004259D0" w:rsidRDefault="00E730F5" w:rsidP="00E730F5">
      <w:pPr>
        <w:jc w:val="both"/>
        <w:rPr>
          <w:rFonts w:asciiTheme="majorHAnsi" w:eastAsiaTheme="majorEastAsia" w:hAnsiTheme="majorHAnsi" w:cstheme="majorBidi"/>
          <w:i/>
          <w:iCs/>
          <w:color w:val="4F81BD" w:themeColor="accent1"/>
          <w:spacing w:val="15"/>
          <w:sz w:val="24"/>
          <w:szCs w:val="24"/>
          <w:lang w:val="hr-HR"/>
        </w:rPr>
      </w:pPr>
      <w:r w:rsidRPr="004259D0">
        <w:rPr>
          <w:rFonts w:asciiTheme="majorHAnsi" w:eastAsiaTheme="majorEastAsia" w:hAnsiTheme="majorHAnsi" w:cstheme="majorBidi"/>
          <w:i/>
          <w:iCs/>
          <w:color w:val="4F81BD" w:themeColor="accent1"/>
          <w:spacing w:val="15"/>
          <w:sz w:val="24"/>
          <w:szCs w:val="24"/>
          <w:lang w:val="hr-HR"/>
        </w:rPr>
        <w:t>Automatizirani prijenos vlastitih i namjenskih prihoda i primitaka iz sustava znanosti u informacijski sustav Državne riznice</w:t>
      </w:r>
    </w:p>
    <w:p w14:paraId="0237EAD5" w14:textId="77777777" w:rsidR="00E730F5" w:rsidRPr="004259D0" w:rsidRDefault="00E730F5" w:rsidP="00E730F5">
      <w:pPr>
        <w:jc w:val="both"/>
        <w:rPr>
          <w:lang w:val="hr-HR"/>
        </w:rPr>
      </w:pPr>
      <w:r w:rsidRPr="004259D0">
        <w:rPr>
          <w:lang w:val="hr-HR"/>
        </w:rPr>
        <w:t>Odredbama Zakona o proračunu</w:t>
      </w:r>
      <w:r w:rsidR="0047115F" w:rsidRPr="004259D0">
        <w:rPr>
          <w:rStyle w:val="FootnoteReference"/>
          <w:lang w:val="hr-HR"/>
        </w:rPr>
        <w:footnoteReference w:id="53"/>
      </w:r>
      <w:r w:rsidRPr="004259D0">
        <w:rPr>
          <w:lang w:val="hr-HR"/>
        </w:rPr>
        <w:t xml:space="preserve"> propisano je da su namjenski prihodi i primici te vlastiti prihodi proračunskih korisnika sastavni dio državnog proračuna i uplaćuju se u državni proračun. Godišnjim zakonima o izvršavanju državnog proračuna određuje se izuzeće od uplate ovih prihoda i primitaka za određene proračunske korisnike kod kojih nisu stvoreni tehnički preduvjeti za njihovo praćenje. Navedeni prihodi i primici kao i rashodi i izdaci financirani tim prihodima i primicima ostvaruju se i izvršavaju preko računa proračunskih korisnika otvorenih kod poslovnih banaka, zbog čega ranije nisu bili evidentirani u izvještajima o izvršenju državnog proračuna. </w:t>
      </w:r>
    </w:p>
    <w:p w14:paraId="36389E02" w14:textId="77777777" w:rsidR="00E730F5" w:rsidRPr="004259D0" w:rsidRDefault="00E730F5" w:rsidP="00E730F5">
      <w:pPr>
        <w:jc w:val="both"/>
        <w:rPr>
          <w:lang w:val="hr-HR"/>
        </w:rPr>
      </w:pPr>
      <w:r w:rsidRPr="004259D0">
        <w:rPr>
          <w:lang w:val="hr-HR"/>
        </w:rPr>
        <w:t>Zakonom o izvršavanju Državnog proračuna za 2015. godinu</w:t>
      </w:r>
      <w:r w:rsidR="0034303D" w:rsidRPr="004259D0">
        <w:rPr>
          <w:rStyle w:val="FootnoteReference"/>
          <w:lang w:val="hr-HR"/>
        </w:rPr>
        <w:footnoteReference w:id="54"/>
      </w:r>
      <w:r w:rsidRPr="004259D0">
        <w:rPr>
          <w:lang w:val="hr-HR"/>
        </w:rPr>
        <w:t xml:space="preserve"> po prvi puta je, uz spomenutu odredbu o izuzeću, propisana obveza planiranja prihoda i primitaka i rashoda i izdataka iz vlastitih i namjenskih izvora te mjesečno iskazivanje njihovog ostvarenja u sustavu Državne riznice. Slijedom navedenoga, od siječnja 2015. </w:t>
      </w:r>
      <w:r w:rsidR="00145037" w:rsidRPr="004259D0">
        <w:rPr>
          <w:lang w:val="hr-HR"/>
        </w:rPr>
        <w:t xml:space="preserve">godine </w:t>
      </w:r>
      <w:r w:rsidRPr="004259D0">
        <w:rPr>
          <w:lang w:val="hr-HR"/>
        </w:rPr>
        <w:t xml:space="preserve">nadležna ministarstva proračunskih korisnika koji su izuzeti od uplate prihoda i primitaka u državni proračun, iskazuju odnosno ručno evidentiraju vlastite i namjenske prihode i primitke iz svoje nadležnosti u informacijski sustav Državne riznice. Međutim, prethodno za sve korisnike iz svoje nadležnosti ministarstva moraju podatke prikupiti, provjeriti i konsolidirati pa tek onda ručno unijeti u spomenuti sustav. Kod nekih ministarstava broj takvih korisnika može biti značajan, a pritom ne postoji jednostavan način da se automatski provjeri kvaliteta prikupljenih podataka. Isto tako, tek prilikom unosa podataka u informacijski sustav Državne riznice, dolazi do njihove sustavne provjere. Stoga, ovakav proces nije u potpunosti učinkovit i rezultira kašnjenjem izvještaja o izvršenju financijskih planova proračunskih korisnika državnog proračuna. </w:t>
      </w:r>
    </w:p>
    <w:p w14:paraId="35128826" w14:textId="77777777" w:rsidR="00E730F5" w:rsidRPr="004259D0" w:rsidRDefault="00E730F5" w:rsidP="00E730F5">
      <w:pPr>
        <w:jc w:val="both"/>
        <w:rPr>
          <w:lang w:val="hr-HR"/>
        </w:rPr>
      </w:pPr>
      <w:r w:rsidRPr="004259D0">
        <w:rPr>
          <w:lang w:val="hr-HR"/>
        </w:rPr>
        <w:t>Slijedom navedenog, cilj je implementacijom odgovarajućeg informatičkog rješenja povećati učinkovitost prikupljanja, provjere, konsolidacije i unosa podataka o prihodima i primicima i rashodima i izdacima korisnika proračuna izuzetih od uplate vlastitih i namjenskih prihoda i primitaka u državni proračun. Pritom formalna provjera u trenutku unosa i sam unos podataka provodit će se putem informatičkog rješenja u institucijama koje su izvor podataka, čime će se rasteretiti nadležna ministarstva. S druge strane, istima će se omogućiti brža i jednostavnija provedba kontrole i konsolidacije prikupljenih podataka te njihov automatizirani prijenos u informacijski sustav Državne riznice, što će doprinijeti sveobuhvatnom i pravovremenom izvještavanju.</w:t>
      </w:r>
    </w:p>
    <w:p w14:paraId="22FDE6FC" w14:textId="77777777" w:rsidR="00E730F5" w:rsidRPr="004259D0" w:rsidRDefault="00E730F5" w:rsidP="00E730F5">
      <w:pPr>
        <w:jc w:val="both"/>
        <w:rPr>
          <w:rFonts w:eastAsia="Times New Roman"/>
          <w:b/>
          <w:sz w:val="28"/>
          <w:szCs w:val="32"/>
          <w:lang w:val="hr-HR"/>
        </w:rPr>
      </w:pPr>
      <w:r w:rsidRPr="004259D0">
        <w:rPr>
          <w:lang w:val="hr-HR"/>
        </w:rPr>
        <w:t xml:space="preserve">Do kraja 2019. godine informatičko rješenje primijenit će se na pilot projekt Ministarstva znanosti i obrazovanja koje je odabrano zbog svoje složene organizacijske strukture i velikog broja korisnika. Do kraja 2020. </w:t>
      </w:r>
      <w:r w:rsidR="00145037" w:rsidRPr="004259D0">
        <w:rPr>
          <w:lang w:val="hr-HR"/>
        </w:rPr>
        <w:t xml:space="preserve">godine </w:t>
      </w:r>
      <w:r w:rsidRPr="004259D0">
        <w:rPr>
          <w:lang w:val="hr-HR"/>
        </w:rPr>
        <w:t>planirano je uključivanje svih ostalih korisnika državnog proračuna izuzetih od uplate vlastitih i namjenskih prihoda i primitaka u državni proračun.</w:t>
      </w:r>
    </w:p>
    <w:p w14:paraId="01930879" w14:textId="77777777" w:rsidR="00790A78" w:rsidRPr="004259D0" w:rsidRDefault="00790A78">
      <w:pPr>
        <w:rPr>
          <w:lang w:val="hr-HR"/>
        </w:rPr>
      </w:pPr>
      <w:r w:rsidRPr="004259D0">
        <w:rPr>
          <w:lang w:val="hr-HR"/>
        </w:rPr>
        <w:br w:type="page"/>
      </w:r>
    </w:p>
    <w:p w14:paraId="00B8C2E8" w14:textId="77777777" w:rsidR="00AE6FDC" w:rsidRPr="004259D0" w:rsidRDefault="00396242" w:rsidP="008160DF">
      <w:pPr>
        <w:pStyle w:val="Heading1"/>
        <w:numPr>
          <w:ilvl w:val="0"/>
          <w:numId w:val="1"/>
        </w:numPr>
        <w:rPr>
          <w:sz w:val="32"/>
          <w:lang w:val="hr-HR"/>
        </w:rPr>
      </w:pPr>
      <w:bookmarkStart w:id="57" w:name="_Toc6418631"/>
      <w:r w:rsidRPr="004259D0">
        <w:rPr>
          <w:sz w:val="32"/>
          <w:lang w:val="hr-HR"/>
        </w:rPr>
        <w:t>INSTITUCIONALNA OBILJEŽJA JAVNIH FINANCIJA</w:t>
      </w:r>
      <w:bookmarkEnd w:id="57"/>
    </w:p>
    <w:p w14:paraId="4B19F38E" w14:textId="77777777" w:rsidR="003B75AE" w:rsidRPr="004259D0" w:rsidRDefault="003B75AE" w:rsidP="00194D16">
      <w:pPr>
        <w:jc w:val="both"/>
        <w:rPr>
          <w:lang w:val="hr-HR"/>
        </w:rPr>
      </w:pPr>
    </w:p>
    <w:p w14:paraId="3DA1798B" w14:textId="77777777" w:rsidR="00A830B4" w:rsidRPr="004259D0" w:rsidRDefault="00A830B4" w:rsidP="008160DF">
      <w:pPr>
        <w:pStyle w:val="ListParagraph"/>
        <w:numPr>
          <w:ilvl w:val="1"/>
          <w:numId w:val="1"/>
        </w:numPr>
        <w:rPr>
          <w:rFonts w:asciiTheme="majorHAnsi" w:eastAsiaTheme="majorEastAsia" w:hAnsiTheme="majorHAnsi" w:cstheme="majorBidi"/>
          <w:b/>
          <w:bCs/>
          <w:color w:val="4F81BD" w:themeColor="accent1"/>
          <w:sz w:val="26"/>
          <w:szCs w:val="26"/>
          <w:lang w:val="hr-HR"/>
        </w:rPr>
      </w:pPr>
      <w:r w:rsidRPr="004259D0">
        <w:rPr>
          <w:lang w:val="hr-HR"/>
        </w:rPr>
        <w:t xml:space="preserve"> </w:t>
      </w:r>
      <w:r w:rsidR="0031655C" w:rsidRPr="004259D0">
        <w:rPr>
          <w:rFonts w:asciiTheme="majorHAnsi" w:eastAsiaTheme="majorEastAsia" w:hAnsiTheme="majorHAnsi" w:cstheme="majorBidi"/>
          <w:b/>
          <w:bCs/>
          <w:color w:val="4F81BD" w:themeColor="accent1"/>
          <w:sz w:val="26"/>
          <w:szCs w:val="26"/>
          <w:lang w:val="hr-HR"/>
        </w:rPr>
        <w:t>Vezne tablice</w:t>
      </w:r>
    </w:p>
    <w:p w14:paraId="76C0AAC0" w14:textId="77777777" w:rsidR="00A830B4" w:rsidRPr="004259D0" w:rsidRDefault="00A830B4" w:rsidP="00925407">
      <w:pPr>
        <w:autoSpaceDE w:val="0"/>
        <w:autoSpaceDN w:val="0"/>
        <w:adjustRightInd w:val="0"/>
        <w:spacing w:after="0" w:line="360" w:lineRule="auto"/>
        <w:jc w:val="both"/>
        <w:rPr>
          <w:sz w:val="24"/>
          <w:szCs w:val="24"/>
          <w:lang w:val="hr-HR"/>
        </w:rPr>
      </w:pPr>
    </w:p>
    <w:p w14:paraId="58637F1C" w14:textId="77777777" w:rsidR="0031655C" w:rsidRPr="004259D0" w:rsidRDefault="0031655C" w:rsidP="0031655C">
      <w:pPr>
        <w:jc w:val="both"/>
        <w:rPr>
          <w:lang w:val="hr-HR"/>
        </w:rPr>
      </w:pPr>
      <w:r w:rsidRPr="004259D0">
        <w:rPr>
          <w:lang w:val="hr-HR"/>
        </w:rPr>
        <w:t xml:space="preserve">U većini zemalja EU proračunski i statistički obuhvat sustava općeg proračuna nije identičan, a najznačajnije razlike utvrđene su u obuhvatu izvanproračunskih korisnika. Oni mogu primjenjivati proračunsko, ali i poduzetničko i neprofitno računovodstvo, ovisno o pravnom obliku i posebnosti poslovanja. Kada izvanproračunski korisnici primjenjuju poduzetničko računovodstvo ili računovodstvo neprofitnih organizacija, za potrebe financijskog izvještavanja poslovne transakcije potrebno je iskazati sukladno pravilima proračunskog računovodstva. </w:t>
      </w:r>
    </w:p>
    <w:p w14:paraId="7C103CA5" w14:textId="77777777" w:rsidR="0031655C" w:rsidRPr="004259D0" w:rsidRDefault="0031655C" w:rsidP="0031655C">
      <w:pPr>
        <w:jc w:val="both"/>
        <w:rPr>
          <w:lang w:val="hr-HR"/>
        </w:rPr>
      </w:pPr>
      <w:r w:rsidRPr="004259D0">
        <w:rPr>
          <w:lang w:val="hr-HR"/>
        </w:rPr>
        <w:t>Zbog specifičnosti računovodstvenih događaja navedeni proces iznimno je složen te zahtijeva specifična, ali i sveobuhvatna računovodstvena znanja. Stoga se pristupilo u pojedinačno prevođenje poslovnih događaja proizašlih iz poslovanja pojedinog izvanproračunskog korisnika iz računovodstvenog sustava koji taj izvanproračunski korisnik primjenjuje u sustav proračunskog računovodstva. Rezultat prevođenja su izrađene vezne tablice za izvanproračunske korisnike koji se sukladno pravilima statističke metodologije EU razvrstavaju u sektor opće države, a nisu proračunski korisnici, zajedno s Priručnikom za izradu veznih tablica. Primjenom navedenih rezultata projekta unaprijedit će se kvaliteta podataka u financijskim i statističkim izvještajima subjekata općeg proračuna, a stečena znanja i uvidi u specifičnosti poslovanja odrazit će se i na izradu financijskih planova izvanproračunskih korisnika.</w:t>
      </w:r>
    </w:p>
    <w:p w14:paraId="15F3803A" w14:textId="52624374" w:rsidR="0031655C" w:rsidRPr="004259D0" w:rsidRDefault="0031655C" w:rsidP="0031655C">
      <w:pPr>
        <w:jc w:val="both"/>
        <w:rPr>
          <w:lang w:val="hr-HR"/>
        </w:rPr>
      </w:pPr>
      <w:r w:rsidRPr="004259D0">
        <w:rPr>
          <w:lang w:val="hr-HR"/>
        </w:rPr>
        <w:t xml:space="preserve">Ovim procesom bili su obuhvaćeni Državna agencija za osiguranje štednih uloga i sanaciju banaka, </w:t>
      </w:r>
      <w:r w:rsidR="00A55676" w:rsidRPr="004259D0">
        <w:rPr>
          <w:lang w:val="hr-HR"/>
        </w:rPr>
        <w:t>HŽI</w:t>
      </w:r>
      <w:r w:rsidRPr="004259D0">
        <w:rPr>
          <w:lang w:val="hr-HR"/>
        </w:rPr>
        <w:t xml:space="preserve">, </w:t>
      </w:r>
      <w:r w:rsidR="00A55676" w:rsidRPr="004259D0">
        <w:rPr>
          <w:lang w:val="hr-HR"/>
        </w:rPr>
        <w:t>HŽPP,</w:t>
      </w:r>
      <w:r w:rsidRPr="004259D0">
        <w:rPr>
          <w:lang w:val="hr-HR"/>
        </w:rPr>
        <w:t xml:space="preserve"> Hrvatske ceste d.o.o., </w:t>
      </w:r>
      <w:r w:rsidR="00A55676" w:rsidRPr="004259D0">
        <w:rPr>
          <w:lang w:val="hr-HR"/>
        </w:rPr>
        <w:t>HAC</w:t>
      </w:r>
      <w:r w:rsidRPr="004259D0">
        <w:rPr>
          <w:lang w:val="hr-HR"/>
        </w:rPr>
        <w:t xml:space="preserve">, </w:t>
      </w:r>
      <w:r w:rsidR="00A55676" w:rsidRPr="004259D0">
        <w:rPr>
          <w:lang w:val="hr-HR"/>
        </w:rPr>
        <w:t>ARZ,</w:t>
      </w:r>
      <w:r w:rsidRPr="004259D0">
        <w:rPr>
          <w:lang w:val="hr-HR"/>
        </w:rPr>
        <w:t xml:space="preserve"> Hrvatska radiotelevizija, Fond za financiranje razgradnje i zbrinjavanja radioaktivnog otpada i istrošenoga nuklearnog goriva Nuklearne elektrane Krško, Fond hrvatskih branitelja iz Domovinskog rata i članova njihovih obitelji, Hrvatska banka za obnovu i razvitak i Hrvatski operator tržišta energije d.o.o.</w:t>
      </w:r>
    </w:p>
    <w:p w14:paraId="398AF555" w14:textId="77777777" w:rsidR="00D23072" w:rsidRPr="004259D0" w:rsidRDefault="00D23072" w:rsidP="002C37E4">
      <w:pPr>
        <w:jc w:val="both"/>
        <w:rPr>
          <w:lang w:val="hr-HR"/>
        </w:rPr>
      </w:pPr>
    </w:p>
    <w:p w14:paraId="1F16FA79" w14:textId="77777777" w:rsidR="006A6F08" w:rsidRPr="004259D0" w:rsidRDefault="006A6F08" w:rsidP="002C37E4">
      <w:pPr>
        <w:jc w:val="both"/>
        <w:rPr>
          <w:lang w:val="hr-HR"/>
        </w:rPr>
      </w:pPr>
    </w:p>
    <w:p w14:paraId="22F28390" w14:textId="77777777" w:rsidR="0031655C" w:rsidRPr="004259D0" w:rsidRDefault="007C6F37" w:rsidP="008160DF">
      <w:pPr>
        <w:pStyle w:val="ListParagraph"/>
        <w:numPr>
          <w:ilvl w:val="1"/>
          <w:numId w:val="1"/>
        </w:numPr>
        <w:rPr>
          <w:rFonts w:asciiTheme="majorHAnsi" w:eastAsiaTheme="majorEastAsia" w:hAnsiTheme="majorHAnsi" w:cstheme="majorBidi"/>
          <w:b/>
          <w:bCs/>
          <w:color w:val="4F81BD" w:themeColor="accent1"/>
          <w:sz w:val="26"/>
          <w:szCs w:val="26"/>
          <w:lang w:val="hr-HR"/>
        </w:rPr>
      </w:pPr>
      <w:r w:rsidRPr="004259D0">
        <w:rPr>
          <w:rFonts w:asciiTheme="majorHAnsi" w:eastAsiaTheme="majorEastAsia" w:hAnsiTheme="majorHAnsi" w:cstheme="majorBidi"/>
          <w:b/>
          <w:bCs/>
          <w:color w:val="4F81BD" w:themeColor="accent1"/>
          <w:sz w:val="26"/>
          <w:szCs w:val="26"/>
          <w:lang w:val="hr-HR"/>
        </w:rPr>
        <w:t xml:space="preserve">Zakon o fiskalnoj odgovornosti </w:t>
      </w:r>
    </w:p>
    <w:p w14:paraId="4CAE024E" w14:textId="77777777" w:rsidR="00A830B4" w:rsidRPr="004259D0" w:rsidRDefault="00A830B4" w:rsidP="00925407">
      <w:pPr>
        <w:autoSpaceDE w:val="0"/>
        <w:autoSpaceDN w:val="0"/>
        <w:adjustRightInd w:val="0"/>
        <w:spacing w:after="0" w:line="360" w:lineRule="auto"/>
        <w:jc w:val="both"/>
        <w:rPr>
          <w:sz w:val="24"/>
          <w:szCs w:val="24"/>
          <w:lang w:val="hr-HR"/>
        </w:rPr>
      </w:pPr>
    </w:p>
    <w:p w14:paraId="759B2585" w14:textId="654430A9" w:rsidR="008501AD" w:rsidRPr="004259D0" w:rsidRDefault="008501AD" w:rsidP="008501AD">
      <w:pPr>
        <w:jc w:val="both"/>
        <w:rPr>
          <w:lang w:val="hr-HR"/>
        </w:rPr>
      </w:pPr>
      <w:r w:rsidRPr="004259D0">
        <w:rPr>
          <w:lang w:val="hr-HR"/>
        </w:rPr>
        <w:t>Zakon o fiskalnoj odgovornosti</w:t>
      </w:r>
      <w:r w:rsidRPr="004259D0">
        <w:rPr>
          <w:rStyle w:val="FootnoteReference"/>
          <w:lang w:val="hr-HR"/>
        </w:rPr>
        <w:footnoteReference w:id="55"/>
      </w:r>
      <w:r w:rsidRPr="004259D0">
        <w:rPr>
          <w:lang w:val="hr-HR"/>
        </w:rPr>
        <w:t xml:space="preserve"> stupio je na snagu 1. siječnja 2019. s ciljem osiguranja srednjoročne i dugoročne održivosti javnih financija te daljnjeg unapređenja fiskalne odgovornosti i transparentnosti. Njime se u potpunosti usklađuju fiskalna pravila s odredbama Pakta o stabilnosti i rastu, jača se neovisnost Povjerenstva za fiskalnu politiku te se dodatno uređuje i obveza davanja godišnje Izjave o fiskalnoj odgovornosti</w:t>
      </w:r>
      <w:r w:rsidRPr="004259D0">
        <w:rPr>
          <w:rStyle w:val="FootnoteReference"/>
          <w:lang w:val="hr-HR"/>
        </w:rPr>
        <w:footnoteReference w:id="56"/>
      </w:r>
      <w:r w:rsidRPr="004259D0">
        <w:rPr>
          <w:lang w:val="hr-HR"/>
        </w:rPr>
        <w:t xml:space="preserve">. </w:t>
      </w:r>
    </w:p>
    <w:p w14:paraId="5BFB680F" w14:textId="36E2EF9F" w:rsidR="008501AD" w:rsidRPr="004259D0" w:rsidRDefault="008501AD" w:rsidP="008501AD">
      <w:pPr>
        <w:jc w:val="both"/>
        <w:rPr>
          <w:lang w:val="hr-HR"/>
        </w:rPr>
      </w:pPr>
      <w:r w:rsidRPr="004259D0">
        <w:rPr>
          <w:lang w:val="hr-HR"/>
        </w:rPr>
        <w:t>Tako se ovim zakonom utv</w:t>
      </w:r>
      <w:r w:rsidR="008179AF" w:rsidRPr="004259D0">
        <w:rPr>
          <w:lang w:val="hr-HR"/>
        </w:rPr>
        <w:t>rđuju tri fiskalna pravila</w:t>
      </w:r>
      <w:r w:rsidR="00445F6A" w:rsidRPr="004259D0">
        <w:rPr>
          <w:lang w:val="hr-HR"/>
        </w:rPr>
        <w:t xml:space="preserve">, a odnose se na </w:t>
      </w:r>
      <w:r w:rsidR="008179AF" w:rsidRPr="004259D0">
        <w:rPr>
          <w:lang w:val="hr-HR"/>
        </w:rPr>
        <w:t xml:space="preserve">pravilo strukturnog salda, pravilo rashoda i pravilo javnog duga. Prema pravilu strukturnog salda </w:t>
      </w:r>
      <w:r w:rsidRPr="004259D0">
        <w:rPr>
          <w:lang w:val="hr-HR"/>
        </w:rPr>
        <w:t xml:space="preserve">ciljana vrijednost postaje srednjoročni proračunski cilj koji će se ostvarivati prema planu prilagodbe sukladno pravnim odredbama </w:t>
      </w:r>
      <w:r w:rsidR="008179AF" w:rsidRPr="004259D0">
        <w:rPr>
          <w:lang w:val="hr-HR"/>
        </w:rPr>
        <w:t>EU. U</w:t>
      </w:r>
      <w:r w:rsidRPr="004259D0">
        <w:rPr>
          <w:lang w:val="hr-HR"/>
        </w:rPr>
        <w:t xml:space="preserve"> </w:t>
      </w:r>
      <w:r w:rsidR="008179AF" w:rsidRPr="004259D0">
        <w:rPr>
          <w:lang w:val="hr-HR"/>
        </w:rPr>
        <w:t>svrhu održivog kretanja rashoda</w:t>
      </w:r>
      <w:r w:rsidRPr="004259D0">
        <w:rPr>
          <w:lang w:val="hr-HR"/>
        </w:rPr>
        <w:t xml:space="preserve"> uvodi se pravilo prema kojem godišnji rast rashoda općeg proračuna ne smije prelaziti referentnu potencijalnu stopu rasta BDP-a koja se utvrđuje sukladno pravnim odredbama </w:t>
      </w:r>
      <w:r w:rsidR="008179AF" w:rsidRPr="004259D0">
        <w:rPr>
          <w:lang w:val="hr-HR"/>
        </w:rPr>
        <w:t xml:space="preserve">EU. Pritom se dozvoljavaju izuzeća za pojedine kategorije rashoda. Pravilo </w:t>
      </w:r>
      <w:r w:rsidRPr="004259D0">
        <w:rPr>
          <w:lang w:val="hr-HR"/>
        </w:rPr>
        <w:t xml:space="preserve">javnog duga </w:t>
      </w:r>
      <w:r w:rsidR="008179AF" w:rsidRPr="004259D0">
        <w:rPr>
          <w:lang w:val="hr-HR"/>
        </w:rPr>
        <w:t xml:space="preserve">određuje da </w:t>
      </w:r>
      <w:r w:rsidRPr="004259D0">
        <w:rPr>
          <w:lang w:val="hr-HR"/>
        </w:rPr>
        <w:t xml:space="preserve">udio javnog duga u BDP-u ne smije prijeći referentnu vrijednost od 60%. Ako udio </w:t>
      </w:r>
      <w:r w:rsidR="008179AF" w:rsidRPr="004259D0">
        <w:rPr>
          <w:lang w:val="hr-HR"/>
        </w:rPr>
        <w:t>prelazi</w:t>
      </w:r>
      <w:r w:rsidRPr="004259D0">
        <w:rPr>
          <w:lang w:val="hr-HR"/>
        </w:rPr>
        <w:t xml:space="preserve"> spomenutu vrijednost, razlika između javnog duga u BDP-u i referentne vrijednosti od 60% mor</w:t>
      </w:r>
      <w:r w:rsidR="008179AF" w:rsidRPr="004259D0">
        <w:rPr>
          <w:lang w:val="hr-HR"/>
        </w:rPr>
        <w:t>a</w:t>
      </w:r>
      <w:r w:rsidRPr="004259D0">
        <w:rPr>
          <w:lang w:val="hr-HR"/>
        </w:rPr>
        <w:t xml:space="preserve"> se smanjivati po dinamici koja je u skladu s pravnim odredbama </w:t>
      </w:r>
      <w:r w:rsidR="008179AF" w:rsidRPr="004259D0">
        <w:rPr>
          <w:lang w:val="hr-HR"/>
        </w:rPr>
        <w:t>EU</w:t>
      </w:r>
      <w:r w:rsidRPr="004259D0">
        <w:rPr>
          <w:lang w:val="hr-HR"/>
        </w:rPr>
        <w:t xml:space="preserve">. Privremeno odgađanje primjene fiskalnih pravila bit će dozvoljeno u slučaju izvanrednih okolnosti, a pod uvjetom da se time ne ugrožava fiskalna održivost u srednjem roku. Predloženim Zakonom definira se i obveza pridržavanja Preporuka Vijeća </w:t>
      </w:r>
      <w:r w:rsidR="00445F6A" w:rsidRPr="004259D0">
        <w:rPr>
          <w:lang w:val="hr-HR"/>
        </w:rPr>
        <w:t>EU</w:t>
      </w:r>
      <w:r w:rsidRPr="004259D0">
        <w:rPr>
          <w:lang w:val="hr-HR"/>
        </w:rPr>
        <w:t xml:space="preserve"> za vrijeme trajanja procedure prekomjernog proračunskog manjka. Propisane su i procedure u slučaju da Vlada</w:t>
      </w:r>
      <w:r w:rsidR="00D65983" w:rsidRPr="004259D0">
        <w:rPr>
          <w:lang w:val="hr-HR"/>
        </w:rPr>
        <w:t xml:space="preserve"> RH</w:t>
      </w:r>
      <w:r w:rsidRPr="004259D0">
        <w:rPr>
          <w:lang w:val="hr-HR"/>
        </w:rPr>
        <w:t xml:space="preserve">, na prijedlog Ministarstva financija ili Povjerenstvo za fiskalnu politiku utvrde značajna odstupanja od fiskalnih pravila definiranih Zakonom.  </w:t>
      </w:r>
    </w:p>
    <w:p w14:paraId="56D3F452" w14:textId="4FEB7E2C" w:rsidR="008501AD" w:rsidRPr="004259D0" w:rsidRDefault="008501AD" w:rsidP="008501AD">
      <w:pPr>
        <w:jc w:val="both"/>
        <w:rPr>
          <w:lang w:val="hr-HR"/>
        </w:rPr>
      </w:pPr>
      <w:r w:rsidRPr="004259D0">
        <w:rPr>
          <w:lang w:val="hr-HR"/>
        </w:rPr>
        <w:t xml:space="preserve">Nadalje, Povjerenstvo za fiskalnu politiku definira se kao stalno, neovisno i samostalno tijelo koje obavlja poslove iz svog djelokruga rada i nadležnosti. Kako bi se naglasila njegova neovisnost, predsjednik Povjerenstva, koji organizira i upravlja radom Povjerenstva profesionalno, ima pravo na plaću u visini plaće potpredsjednika Državnog izbornog povjerenstva te će se na njega na odgovarajući način primjenjivati opći propisi o radu. Također, s ciljem što stručnijeg obavljanja svojih zadaća koje su definirane ovim Zakonom, predviđeno je da Povjerenstvo ima zaposlene državne službenike koji, obavljaju stručne, administrativne i tehničke poslove. Sredstva za rad Povjerenstva </w:t>
      </w:r>
      <w:r w:rsidR="00F05CE5" w:rsidRPr="004259D0">
        <w:rPr>
          <w:lang w:val="hr-HR"/>
        </w:rPr>
        <w:t xml:space="preserve">osigurana su u državnom </w:t>
      </w:r>
      <w:r w:rsidRPr="004259D0">
        <w:rPr>
          <w:lang w:val="hr-HR"/>
        </w:rPr>
        <w:t>proračunu RH. Svim navedenim, jača se uloga Povjerenstva kao supervizora nad primjenom ovog Zakona</w:t>
      </w:r>
      <w:r w:rsidR="00F05CE5" w:rsidRPr="004259D0">
        <w:rPr>
          <w:lang w:val="hr-HR"/>
        </w:rPr>
        <w:t>,</w:t>
      </w:r>
      <w:r w:rsidRPr="004259D0">
        <w:rPr>
          <w:lang w:val="hr-HR"/>
        </w:rPr>
        <w:t xml:space="preserve"> ali i nad provođenjem fiskalne politike države u cijelosti, a sve u svrhu unapređenja </w:t>
      </w:r>
      <w:r w:rsidR="00F05CE5" w:rsidRPr="004259D0">
        <w:rPr>
          <w:lang w:val="hr-HR"/>
        </w:rPr>
        <w:t>stabilnosti</w:t>
      </w:r>
      <w:r w:rsidRPr="004259D0">
        <w:rPr>
          <w:lang w:val="hr-HR"/>
        </w:rPr>
        <w:t xml:space="preserve"> javnih financija.</w:t>
      </w:r>
      <w:r w:rsidR="00F05CE5" w:rsidRPr="004259D0">
        <w:rPr>
          <w:lang w:val="hr-HR"/>
        </w:rPr>
        <w:t xml:space="preserve"> </w:t>
      </w:r>
    </w:p>
    <w:p w14:paraId="12A58964" w14:textId="77777777" w:rsidR="008501AD" w:rsidRPr="004259D0" w:rsidRDefault="008501AD" w:rsidP="0031655C">
      <w:pPr>
        <w:jc w:val="both"/>
        <w:rPr>
          <w:lang w:val="hr-HR"/>
        </w:rPr>
      </w:pPr>
    </w:p>
    <w:p w14:paraId="26E9D46F" w14:textId="77777777" w:rsidR="00F87DF7" w:rsidRPr="004259D0" w:rsidRDefault="00F87DF7" w:rsidP="0031655C">
      <w:pPr>
        <w:jc w:val="both"/>
        <w:rPr>
          <w:lang w:val="hr-HR"/>
        </w:rPr>
      </w:pPr>
    </w:p>
    <w:p w14:paraId="22F93C85" w14:textId="77777777" w:rsidR="007C6F37" w:rsidRPr="004259D0" w:rsidRDefault="007C6F37" w:rsidP="008160DF">
      <w:pPr>
        <w:pStyle w:val="ListParagraph"/>
        <w:numPr>
          <w:ilvl w:val="1"/>
          <w:numId w:val="1"/>
        </w:numPr>
        <w:rPr>
          <w:rFonts w:asciiTheme="majorHAnsi" w:eastAsiaTheme="majorEastAsia" w:hAnsiTheme="majorHAnsi" w:cstheme="majorBidi"/>
          <w:b/>
          <w:bCs/>
          <w:color w:val="4F81BD" w:themeColor="accent1"/>
          <w:sz w:val="26"/>
          <w:szCs w:val="26"/>
          <w:lang w:val="hr-HR"/>
        </w:rPr>
      </w:pPr>
      <w:r w:rsidRPr="004259D0">
        <w:rPr>
          <w:rFonts w:asciiTheme="majorHAnsi" w:eastAsiaTheme="majorEastAsia" w:hAnsiTheme="majorHAnsi" w:cstheme="majorBidi"/>
          <w:b/>
          <w:bCs/>
          <w:color w:val="4F81BD" w:themeColor="accent1"/>
          <w:sz w:val="26"/>
          <w:szCs w:val="26"/>
          <w:lang w:val="hr-HR"/>
        </w:rPr>
        <w:t>Uredba o sastavljanju i predaji izjave o fiskalnoj odgovornosti i izvještavanju i primjeni fiskalnih pravila</w:t>
      </w:r>
    </w:p>
    <w:p w14:paraId="4E936FAA" w14:textId="77777777" w:rsidR="006D106E" w:rsidRPr="004259D0" w:rsidRDefault="006D106E" w:rsidP="0031655C">
      <w:pPr>
        <w:jc w:val="both"/>
        <w:rPr>
          <w:lang w:val="hr-HR"/>
        </w:rPr>
      </w:pPr>
    </w:p>
    <w:p w14:paraId="092FB330" w14:textId="2F82BC12" w:rsidR="0031655C" w:rsidRPr="004259D0" w:rsidRDefault="007C6F37" w:rsidP="0031655C">
      <w:pPr>
        <w:jc w:val="both"/>
        <w:rPr>
          <w:lang w:val="hr-HR"/>
        </w:rPr>
      </w:pPr>
      <w:r w:rsidRPr="004259D0">
        <w:rPr>
          <w:lang w:val="hr-HR"/>
        </w:rPr>
        <w:t>Gore spomenuti</w:t>
      </w:r>
      <w:r w:rsidR="0031655C" w:rsidRPr="004259D0">
        <w:rPr>
          <w:lang w:val="hr-HR"/>
        </w:rPr>
        <w:t xml:space="preserve"> Zakon navodi kako će se u roku od šest mjeseci od dana njegova stupanja na snagu donijeti nova Uredba o sastavljanju i predaji Izjave o fiskalnoj odgovornosti i izvještaja o primjeni fiskalnih pravila (u daljnjem tekstu: Uredba). </w:t>
      </w:r>
      <w:r w:rsidR="008160DF" w:rsidRPr="004259D0">
        <w:rPr>
          <w:lang w:val="hr-HR"/>
        </w:rPr>
        <w:t>Ona</w:t>
      </w:r>
      <w:r w:rsidR="0031655C" w:rsidRPr="004259D0">
        <w:rPr>
          <w:lang w:val="hr-HR"/>
        </w:rPr>
        <w:t xml:space="preserve"> će propisivati izgled i sadržaj Izjave o fiskalnoj odgovornosti kao i postupak i rokove sastavljanja i predaje, način i rokove izvješćivanja Ministarstva financija o zamijećenim nepravilnostima pri provjerama sadržaja izjava te oblik i sadržaj izvješća o primjeni fiskalnih pravila.</w:t>
      </w:r>
    </w:p>
    <w:p w14:paraId="2FC7D3BE" w14:textId="77777777" w:rsidR="00A370EE" w:rsidRPr="004259D0" w:rsidRDefault="00A370EE" w:rsidP="0031655C">
      <w:pPr>
        <w:jc w:val="both"/>
        <w:rPr>
          <w:lang w:val="hr-HR"/>
        </w:rPr>
      </w:pPr>
    </w:p>
    <w:p w14:paraId="2012FD50" w14:textId="77777777" w:rsidR="00A370EE" w:rsidRPr="004259D0" w:rsidRDefault="00A370EE" w:rsidP="0031655C">
      <w:pPr>
        <w:jc w:val="both"/>
        <w:rPr>
          <w:lang w:val="hr-HR"/>
        </w:rPr>
      </w:pPr>
    </w:p>
    <w:p w14:paraId="138C9F03" w14:textId="77777777" w:rsidR="00A370EE" w:rsidRPr="004259D0" w:rsidRDefault="00A370EE" w:rsidP="0031655C">
      <w:pPr>
        <w:jc w:val="both"/>
        <w:rPr>
          <w:lang w:val="hr-HR"/>
        </w:rPr>
      </w:pPr>
    </w:p>
    <w:p w14:paraId="05F9F788" w14:textId="77777777" w:rsidR="0031655C" w:rsidRPr="004259D0" w:rsidRDefault="0031655C" w:rsidP="0031655C">
      <w:pPr>
        <w:jc w:val="both"/>
        <w:rPr>
          <w:i/>
          <w:lang w:val="hr-HR"/>
        </w:rPr>
      </w:pPr>
      <w:r w:rsidRPr="004259D0">
        <w:rPr>
          <w:rFonts w:asciiTheme="majorHAnsi" w:eastAsiaTheme="majorEastAsia" w:hAnsiTheme="majorHAnsi" w:cstheme="majorBidi"/>
          <w:i/>
          <w:iCs/>
          <w:color w:val="4F81BD" w:themeColor="accent1"/>
          <w:spacing w:val="15"/>
          <w:sz w:val="24"/>
          <w:szCs w:val="24"/>
          <w:lang w:val="hr-HR"/>
        </w:rPr>
        <w:t>Izvješće o primjeni fiskalnih pravila</w:t>
      </w:r>
    </w:p>
    <w:p w14:paraId="6199CDA2" w14:textId="77777777" w:rsidR="0031655C" w:rsidRPr="004259D0" w:rsidRDefault="0031655C" w:rsidP="0031655C">
      <w:pPr>
        <w:jc w:val="both"/>
        <w:rPr>
          <w:lang w:val="hr-HR"/>
        </w:rPr>
      </w:pPr>
      <w:r w:rsidRPr="004259D0">
        <w:rPr>
          <w:lang w:val="hr-HR"/>
        </w:rPr>
        <w:t>Izvješće o primjeni fiskalnih pravila dostavljat će se uz sve ključne proračunske dokumente tj. uz program konvergencije, uz prijedlog državnog proračuna i financijskih planova izvanproračunskih korisnika, uz prijedlog izmjena i dopuna državnog proračuna i financijskih planova izvanproračunskih korisnika te uz prijedlog godišnjeg izvještaja o izvršenju proračuna. Svako izvješće odnosit će se na razdoblje na koje se spomenuti dokument odnosi. Sadržavat će kratki opis makroekonomskih kretanja kao i opis metodologije i izračuna fiskalnih pravila. Ovim će se Povjerenstvu za fiskalnu politiku kao i široj javnosti omogućiti uvid u vođenje fiskalne politike u kontekstu usklađenosti s fiskalnim pravilima, a čime se ujedno jača i fiskalna transparentnost.</w:t>
      </w:r>
    </w:p>
    <w:p w14:paraId="4A4FE4C1" w14:textId="77777777" w:rsidR="00C50764" w:rsidRPr="004259D0" w:rsidRDefault="00C50764" w:rsidP="0031655C">
      <w:pPr>
        <w:jc w:val="both"/>
        <w:rPr>
          <w:lang w:val="hr-HR"/>
        </w:rPr>
      </w:pPr>
    </w:p>
    <w:p w14:paraId="6472A6A7" w14:textId="77777777" w:rsidR="0031655C" w:rsidRPr="004259D0" w:rsidRDefault="0031655C" w:rsidP="0031655C">
      <w:pPr>
        <w:jc w:val="both"/>
        <w:rPr>
          <w:i/>
          <w:lang w:val="hr-HR"/>
        </w:rPr>
      </w:pPr>
      <w:r w:rsidRPr="004259D0">
        <w:rPr>
          <w:rFonts w:asciiTheme="majorHAnsi" w:eastAsiaTheme="majorEastAsia" w:hAnsiTheme="majorHAnsi" w:cstheme="majorBidi"/>
          <w:i/>
          <w:iCs/>
          <w:color w:val="4F81BD" w:themeColor="accent1"/>
          <w:spacing w:val="15"/>
          <w:sz w:val="24"/>
          <w:szCs w:val="24"/>
          <w:lang w:val="hr-HR"/>
        </w:rPr>
        <w:t>Izjava o fiskalnoj odgovornosti</w:t>
      </w:r>
    </w:p>
    <w:p w14:paraId="1D70369A" w14:textId="763B2E4A" w:rsidR="0031655C" w:rsidRPr="004259D0" w:rsidRDefault="0031655C" w:rsidP="0031655C">
      <w:pPr>
        <w:jc w:val="both"/>
        <w:rPr>
          <w:lang w:val="hr-HR"/>
        </w:rPr>
      </w:pPr>
      <w:r w:rsidRPr="004259D0">
        <w:rPr>
          <w:lang w:val="hr-HR"/>
        </w:rPr>
        <w:t xml:space="preserve">Čelnici imaju obvezu samoocjene i samoprocjene rada sustava kojima upravljaju, kao i njihovog kontinuiranog unaprjeđenja i poboljšanja. Čelnici svih razina državne i lokalne vlasti svake godine za prethodnu proračunsku godinu, za razdoblje u kojem su obnašali dužnost, imaju obvezu sastaviti i predati Izjavu o fiskalnoj odgovornosti (u daljnjem tekstu: Izjava). Njome potvrđuju zakonito, namjensko i svrhovito korištenje sredstava te učinkovito i djelotvorno funkcioniranje sustava financijskog upravljanja i kontrola u okviru proračunom utvrđenih sredstava. Od 2015. godine ova je obveza uvedena i za čelnike trgovačkih društava i drugih pravnih osoba kojima su vlasnici, odnosno osnivači RH i/ili jedna ili više </w:t>
      </w:r>
      <w:r w:rsidR="004C1BB8" w:rsidRPr="004259D0">
        <w:rPr>
          <w:lang w:val="hr-HR"/>
        </w:rPr>
        <w:t>JLP(R)S</w:t>
      </w:r>
      <w:r w:rsidRPr="004259D0">
        <w:rPr>
          <w:lang w:val="hr-HR"/>
        </w:rPr>
        <w:t>.</w:t>
      </w:r>
    </w:p>
    <w:p w14:paraId="74EB74EE" w14:textId="6BAA8880" w:rsidR="0031655C" w:rsidRPr="004259D0" w:rsidRDefault="0031655C" w:rsidP="0031655C">
      <w:pPr>
        <w:jc w:val="both"/>
        <w:rPr>
          <w:lang w:val="hr-HR"/>
        </w:rPr>
      </w:pPr>
      <w:r w:rsidRPr="004259D0">
        <w:rPr>
          <w:lang w:val="hr-HR"/>
        </w:rPr>
        <w:t>Postupak davanja Izjave usmjeren je na prepoznavanje slabost</w:t>
      </w:r>
      <w:r w:rsidR="00213E2F" w:rsidRPr="004259D0">
        <w:rPr>
          <w:lang w:val="hr-HR"/>
        </w:rPr>
        <w:t>i i nepravilnosti u sustavu</w:t>
      </w:r>
      <w:r w:rsidRPr="004259D0">
        <w:rPr>
          <w:lang w:val="hr-HR"/>
        </w:rPr>
        <w:t xml:space="preserve"> od strane samog korisnika. Čelnik Izjavu daje na temelju prethodno popunjenog Upitnika o fiskalnoj odgovornosti (u daljnjem tekstu: Upitnik), zatim raspoloživih informacija o radu tijela, rezultata rada unutarnje i vanjske revizije te vlastite procjene. U Upitniku su obuhvaćene sve faze proračunskog procesa, a kroz pitanja iz Upitnika se po procesima testiraju minimalni zahtjevi za dobro financijsko upravljanje, kako bi se moglo procijeniti postupa li se i do koje mjere u skladu s propisanim zakonodavnim okvirom. Ovako uspostavljen sustav omogućava da se uočene slabosti i nepravilnosti pravovremeno prepoznaju te u budućnosti otklone prema planu otklanjanja slabosti i nepravilnosti, koji sastavlja sam obveznik. </w:t>
      </w:r>
    </w:p>
    <w:p w14:paraId="07F1B724" w14:textId="77777777" w:rsidR="0031655C" w:rsidRPr="004259D0" w:rsidRDefault="0031655C" w:rsidP="0031655C">
      <w:pPr>
        <w:jc w:val="both"/>
        <w:rPr>
          <w:lang w:val="hr-HR"/>
        </w:rPr>
      </w:pPr>
      <w:r w:rsidRPr="004259D0">
        <w:rPr>
          <w:lang w:val="hr-HR"/>
        </w:rPr>
        <w:t>Prilikom donošenja nove Uredbe bit će dorađen postupak davanja Izjave, uključujući i Upitnik, koji će obuhvatiti i složenija pitanja, potičući obveznike na učinkovitije korištenje sredstava i na poboljšanje sustava financijskog upravljanja i kontrola.</w:t>
      </w:r>
    </w:p>
    <w:p w14:paraId="5F0B8A1D" w14:textId="77777777" w:rsidR="0030382F" w:rsidRPr="004259D0" w:rsidRDefault="0030382F" w:rsidP="0031655C">
      <w:pPr>
        <w:jc w:val="both"/>
        <w:rPr>
          <w:lang w:val="hr-HR"/>
        </w:rPr>
      </w:pPr>
    </w:p>
    <w:p w14:paraId="7607924F" w14:textId="77777777" w:rsidR="00C50764" w:rsidRPr="004259D0" w:rsidRDefault="00C50764" w:rsidP="0031655C">
      <w:pPr>
        <w:jc w:val="both"/>
        <w:rPr>
          <w:lang w:val="hr-HR"/>
        </w:rPr>
      </w:pPr>
    </w:p>
    <w:p w14:paraId="58BE508D" w14:textId="77777777" w:rsidR="0030382F" w:rsidRPr="004259D0" w:rsidRDefault="0030382F" w:rsidP="0030382F">
      <w:pPr>
        <w:pStyle w:val="ListParagraph"/>
        <w:numPr>
          <w:ilvl w:val="1"/>
          <w:numId w:val="1"/>
        </w:numPr>
        <w:rPr>
          <w:rFonts w:asciiTheme="majorHAnsi" w:eastAsiaTheme="majorEastAsia" w:hAnsiTheme="majorHAnsi" w:cstheme="majorBidi"/>
          <w:b/>
          <w:bCs/>
          <w:color w:val="4F81BD" w:themeColor="accent1"/>
          <w:sz w:val="26"/>
          <w:szCs w:val="26"/>
          <w:lang w:val="hr-HR"/>
        </w:rPr>
      </w:pPr>
      <w:r w:rsidRPr="004259D0">
        <w:rPr>
          <w:rFonts w:asciiTheme="majorHAnsi" w:eastAsiaTheme="majorEastAsia" w:hAnsiTheme="majorHAnsi" w:cstheme="majorBidi"/>
          <w:b/>
          <w:bCs/>
          <w:color w:val="4F81BD" w:themeColor="accent1"/>
          <w:sz w:val="26"/>
          <w:szCs w:val="26"/>
          <w:lang w:val="hr-HR"/>
        </w:rPr>
        <w:t>Zakon o proračunu</w:t>
      </w:r>
    </w:p>
    <w:p w14:paraId="18251F25" w14:textId="77777777" w:rsidR="0030382F" w:rsidRPr="004259D0" w:rsidRDefault="0030382F" w:rsidP="0030382F">
      <w:pPr>
        <w:jc w:val="both"/>
        <w:rPr>
          <w:lang w:val="hr-HR"/>
        </w:rPr>
      </w:pPr>
    </w:p>
    <w:p w14:paraId="60C212CC" w14:textId="253E51AB" w:rsidR="008501AD" w:rsidRPr="004259D0" w:rsidRDefault="008501AD" w:rsidP="008501AD">
      <w:pPr>
        <w:jc w:val="both"/>
        <w:rPr>
          <w:lang w:val="hr-HR"/>
        </w:rPr>
      </w:pPr>
      <w:r w:rsidRPr="004259D0">
        <w:rPr>
          <w:lang w:val="hr-HR"/>
        </w:rPr>
        <w:t>Novi Zakon o proračunu koji je trenutno u pripremi, usmjeren je na jačanje institucionalnog okvira za upravljanje javnim financijama te poboljšanje učinkovitosti</w:t>
      </w:r>
      <w:r w:rsidR="001050E3" w:rsidRPr="004259D0">
        <w:rPr>
          <w:lang w:val="hr-HR"/>
        </w:rPr>
        <w:t xml:space="preserve"> korištenja</w:t>
      </w:r>
      <w:r w:rsidRPr="004259D0">
        <w:rPr>
          <w:lang w:val="hr-HR"/>
        </w:rPr>
        <w:t xml:space="preserve"> proračunskih sredstava</w:t>
      </w:r>
      <w:r w:rsidR="00261ED2" w:rsidRPr="004259D0">
        <w:rPr>
          <w:lang w:val="hr-HR"/>
        </w:rPr>
        <w:t>,</w:t>
      </w:r>
      <w:r w:rsidRPr="004259D0">
        <w:rPr>
          <w:lang w:val="hr-HR"/>
        </w:rPr>
        <w:t xml:space="preserve"> kako na prihodnoj tako i na rashodnoj strani. Stoga će se ovim Zakonom ojačati proračunsko planiranje i sadržaj ključnih dokumenata proračunskog</w:t>
      </w:r>
      <w:r w:rsidR="00C50764" w:rsidRPr="004259D0">
        <w:rPr>
          <w:lang w:val="hr-HR"/>
        </w:rPr>
        <w:t xml:space="preserve"> ciklusa te će se unaprijediti </w:t>
      </w:r>
      <w:r w:rsidRPr="004259D0">
        <w:rPr>
          <w:lang w:val="hr-HR"/>
        </w:rPr>
        <w:t xml:space="preserve">kontrola izvršavanja rashoda kao i praćenje ostvarivanja i korištenja namjenskih i vlastitih prihoda i primitaka proračunskih korisnika. Također će se poboljšati okvir za zaduživanje </w:t>
      </w:r>
      <w:r w:rsidR="004C1BB8" w:rsidRPr="004259D0">
        <w:rPr>
          <w:lang w:val="hr-HR"/>
        </w:rPr>
        <w:t xml:space="preserve">JLP(R)S </w:t>
      </w:r>
      <w:r w:rsidRPr="004259D0">
        <w:rPr>
          <w:lang w:val="hr-HR"/>
        </w:rPr>
        <w:t xml:space="preserve">kao i odredbe vezano uz fiskalnu statistiku, u skladu s odredbama Direktive Vijeća </w:t>
      </w:r>
      <w:r w:rsidR="00754319" w:rsidRPr="004259D0">
        <w:rPr>
          <w:lang w:val="hr-HR"/>
        </w:rPr>
        <w:t>2011/85/EU o zahtjevima za proračunske okvire država članica</w:t>
      </w:r>
      <w:r w:rsidRPr="004259D0">
        <w:rPr>
          <w:lang w:val="hr-HR"/>
        </w:rPr>
        <w:t>.</w:t>
      </w:r>
    </w:p>
    <w:p w14:paraId="105809E2" w14:textId="47E5F8E1" w:rsidR="008501AD" w:rsidRPr="004259D0" w:rsidRDefault="008501AD" w:rsidP="008501AD">
      <w:pPr>
        <w:jc w:val="both"/>
        <w:rPr>
          <w:lang w:val="hr-HR"/>
        </w:rPr>
      </w:pPr>
      <w:r w:rsidRPr="004259D0">
        <w:rPr>
          <w:lang w:val="hr-HR"/>
        </w:rPr>
        <w:t xml:space="preserve">Vezano uz unapređenje kvalitete ključnih dokumenata proračunskog ciklusa, dodatno će se </w:t>
      </w:r>
      <w:r w:rsidR="00261ED2" w:rsidRPr="004259D0">
        <w:rPr>
          <w:lang w:val="hr-HR"/>
        </w:rPr>
        <w:t xml:space="preserve">proširiti sadržaj </w:t>
      </w:r>
      <w:r w:rsidRPr="004259D0">
        <w:rPr>
          <w:lang w:val="hr-HR"/>
        </w:rPr>
        <w:t>smjernica ekonomske i fiskalne politike</w:t>
      </w:r>
      <w:r w:rsidR="007F5DD5" w:rsidRPr="004259D0">
        <w:rPr>
          <w:lang w:val="hr-HR"/>
        </w:rPr>
        <w:t>,</w:t>
      </w:r>
      <w:r w:rsidR="00261ED2" w:rsidRPr="004259D0">
        <w:rPr>
          <w:lang w:val="hr-HR"/>
        </w:rPr>
        <w:t xml:space="preserve"> u dijelu makroekonomskog i fiskalnog okvira, a</w:t>
      </w:r>
      <w:r w:rsidRPr="004259D0">
        <w:rPr>
          <w:lang w:val="hr-HR"/>
        </w:rPr>
        <w:t xml:space="preserve"> koje su ujedno </w:t>
      </w:r>
      <w:r w:rsidR="00261ED2" w:rsidRPr="004259D0">
        <w:rPr>
          <w:lang w:val="hr-HR"/>
        </w:rPr>
        <w:t xml:space="preserve">i </w:t>
      </w:r>
      <w:r w:rsidRPr="004259D0">
        <w:rPr>
          <w:lang w:val="hr-HR"/>
        </w:rPr>
        <w:t>strateška prethodnica uputama za izradu prijedloga državnog proračuna. Novim Zakonom propisat će se i obveza ministarstvima za sastavljanje detaljnije upute za proračunske i izvanproračunske korisnike iz njihove nadležnosti, gdje im</w:t>
      </w:r>
      <w:r w:rsidR="00261ED2" w:rsidRPr="004259D0">
        <w:rPr>
          <w:lang w:val="hr-HR"/>
        </w:rPr>
        <w:t>,</w:t>
      </w:r>
      <w:r w:rsidRPr="004259D0">
        <w:rPr>
          <w:lang w:val="hr-HR"/>
        </w:rPr>
        <w:t xml:space="preserve"> uz ostalo</w:t>
      </w:r>
      <w:r w:rsidR="00261ED2" w:rsidRPr="004259D0">
        <w:rPr>
          <w:lang w:val="hr-HR"/>
        </w:rPr>
        <w:t>,</w:t>
      </w:r>
      <w:r w:rsidRPr="004259D0">
        <w:rPr>
          <w:lang w:val="hr-HR"/>
        </w:rPr>
        <w:t xml:space="preserve"> dodjeljuju i </w:t>
      </w:r>
      <w:r w:rsidR="007F5DD5" w:rsidRPr="004259D0">
        <w:rPr>
          <w:lang w:val="hr-HR"/>
        </w:rPr>
        <w:t xml:space="preserve">visinu </w:t>
      </w:r>
      <w:r w:rsidR="00204884" w:rsidRPr="004259D0">
        <w:rPr>
          <w:lang w:val="hr-HR"/>
        </w:rPr>
        <w:t>rashod</w:t>
      </w:r>
      <w:r w:rsidR="007F5DD5" w:rsidRPr="004259D0">
        <w:rPr>
          <w:lang w:val="hr-HR"/>
        </w:rPr>
        <w:t>a</w:t>
      </w:r>
      <w:r w:rsidR="00204884" w:rsidRPr="004259D0">
        <w:rPr>
          <w:lang w:val="hr-HR"/>
        </w:rPr>
        <w:t xml:space="preserve"> za provedbu programa i aktivnosti</w:t>
      </w:r>
      <w:r w:rsidRPr="004259D0">
        <w:rPr>
          <w:lang w:val="hr-HR"/>
        </w:rPr>
        <w:t>, uključujući i treću razinu korisnika. Temeljem spomenut</w:t>
      </w:r>
      <w:r w:rsidR="00261ED2" w:rsidRPr="004259D0">
        <w:rPr>
          <w:lang w:val="hr-HR"/>
        </w:rPr>
        <w:t>e visine</w:t>
      </w:r>
      <w:r w:rsidRPr="004259D0">
        <w:rPr>
          <w:lang w:val="hr-HR"/>
        </w:rPr>
        <w:t xml:space="preserve"> </w:t>
      </w:r>
      <w:r w:rsidR="00261ED2" w:rsidRPr="004259D0">
        <w:rPr>
          <w:lang w:val="hr-HR"/>
        </w:rPr>
        <w:t>rashoda</w:t>
      </w:r>
      <w:r w:rsidRPr="004259D0">
        <w:rPr>
          <w:lang w:val="hr-HR"/>
        </w:rPr>
        <w:t xml:space="preserve"> proračunski korisnici izrađuju prijedloge financijskih planova i dostavljaju ih nadležnom ministarstvu</w:t>
      </w:r>
      <w:r w:rsidR="00261ED2" w:rsidRPr="004259D0">
        <w:rPr>
          <w:lang w:val="hr-HR"/>
        </w:rPr>
        <w:t>,</w:t>
      </w:r>
      <w:r w:rsidRPr="004259D0">
        <w:rPr>
          <w:lang w:val="hr-HR"/>
        </w:rPr>
        <w:t xml:space="preserve"> koje potom sastavlja integrirani prijedlog financijskog plana. K tome, novim zakonskim okvirom, uz opći i posebni dio, obrazloženje postaje sastavni dio proračuna</w:t>
      </w:r>
      <w:r w:rsidR="006E3FE7" w:rsidRPr="004259D0">
        <w:rPr>
          <w:lang w:val="hr-HR"/>
        </w:rPr>
        <w:t>,</w:t>
      </w:r>
      <w:r w:rsidRPr="004259D0">
        <w:rPr>
          <w:lang w:val="hr-HR"/>
        </w:rPr>
        <w:t xml:space="preserve"> kako na državnoj tako i na razini JLP</w:t>
      </w:r>
      <w:r w:rsidR="00B84CDF" w:rsidRPr="004259D0">
        <w:rPr>
          <w:lang w:val="hr-HR"/>
        </w:rPr>
        <w:t>(</w:t>
      </w:r>
      <w:r w:rsidRPr="004259D0">
        <w:rPr>
          <w:lang w:val="hr-HR"/>
        </w:rPr>
        <w:t>R</w:t>
      </w:r>
      <w:r w:rsidR="00B84CDF" w:rsidRPr="004259D0">
        <w:rPr>
          <w:lang w:val="hr-HR"/>
        </w:rPr>
        <w:t>)</w:t>
      </w:r>
      <w:r w:rsidRPr="004259D0">
        <w:rPr>
          <w:lang w:val="hr-HR"/>
        </w:rPr>
        <w:t xml:space="preserve">S. Kroz obrazloženje općeg dijela propisuje se obveza iskazivanja rashoda po funkcijskoj i organizacijskoj klasifikaciji i izvorima financiranja. Uvođenjem obveznih pokazatelja uspješnosti naglasak se stavlja na rezultate provedbe proračunskih aktivnosti i projekata, čime se </w:t>
      </w:r>
      <w:r w:rsidR="00A9247E" w:rsidRPr="004259D0">
        <w:rPr>
          <w:lang w:val="hr-HR"/>
        </w:rPr>
        <w:t>jača odgovornost proračunskih</w:t>
      </w:r>
      <w:r w:rsidRPr="004259D0">
        <w:rPr>
          <w:lang w:val="hr-HR"/>
        </w:rPr>
        <w:t xml:space="preserve"> korisnika</w:t>
      </w:r>
      <w:r w:rsidR="007F5DD5" w:rsidRPr="004259D0">
        <w:rPr>
          <w:lang w:val="hr-HR"/>
        </w:rPr>
        <w:t xml:space="preserve"> u cilju svrhovitog korištenja dodijeljenih sredstava</w:t>
      </w:r>
      <w:r w:rsidRPr="004259D0">
        <w:rPr>
          <w:lang w:val="hr-HR"/>
        </w:rPr>
        <w:t>.</w:t>
      </w:r>
    </w:p>
    <w:p w14:paraId="1C7FDA8D" w14:textId="5E6CB9FF" w:rsidR="008501AD" w:rsidRPr="004259D0" w:rsidRDefault="008501AD" w:rsidP="008501AD">
      <w:pPr>
        <w:jc w:val="both"/>
        <w:rPr>
          <w:lang w:val="hr-HR"/>
        </w:rPr>
      </w:pPr>
      <w:r w:rsidRPr="004259D0">
        <w:rPr>
          <w:lang w:val="hr-HR"/>
        </w:rPr>
        <w:t xml:space="preserve">Sustav kontrole nad stvaranjem višegodišnjih obveza </w:t>
      </w:r>
      <w:r w:rsidR="00C14EF5" w:rsidRPr="004259D0">
        <w:rPr>
          <w:lang w:val="hr-HR"/>
        </w:rPr>
        <w:t>unaprijeđen</w:t>
      </w:r>
      <w:r w:rsidRPr="004259D0">
        <w:rPr>
          <w:lang w:val="hr-HR"/>
        </w:rPr>
        <w:t xml:space="preserve"> je u svom obuhvatu od 2003. godine kada je prvi puta uveden kroz Zakon o proračunu. Trenutno, suglasnost Vlade RH odnosno ministra financija nije potrebna za obveze povezane sa zaduživanjem države i s upravljanjem državnim dugom te za obveze preuzete temeljem međunarodnih sporazuma i projekata financiranih sredstvima EU. No, kako EU sredstva postaju sve značajniji izvor financiranja, tako se povećava i komponenta njihovog nacionalnog sufinanciranja. Stoga će </w:t>
      </w:r>
      <w:r w:rsidR="006550E2" w:rsidRPr="004259D0">
        <w:rPr>
          <w:lang w:val="hr-HR"/>
        </w:rPr>
        <w:t>se novim Zakonom</w:t>
      </w:r>
      <w:r w:rsidRPr="004259D0">
        <w:rPr>
          <w:lang w:val="hr-HR"/>
        </w:rPr>
        <w:t xml:space="preserve"> uvesti bolja kontrola nad stvaranjem višegodišnjih ugovornih obveza po osnovi EU projekata, a na način koji neće usporiti njihovo ugovaranje i provođenje.  </w:t>
      </w:r>
    </w:p>
    <w:p w14:paraId="6FF01695" w14:textId="62DC1790" w:rsidR="008501AD" w:rsidRPr="004259D0" w:rsidRDefault="008501AD" w:rsidP="008501AD">
      <w:pPr>
        <w:jc w:val="both"/>
        <w:rPr>
          <w:lang w:val="hr-HR"/>
        </w:rPr>
      </w:pPr>
      <w:r w:rsidRPr="004259D0">
        <w:rPr>
          <w:lang w:val="hr-HR"/>
        </w:rPr>
        <w:t xml:space="preserve">Nadalje, neke od izmjena Zakona o proračunu imaju za cilj i ujednačavanje praćenja i bolju kontrolu korištenja vlastitih i namjenskih prihoda i primitaka. Naime, od 2015. u državnom proračunu iskazuju se vlastiti i namjenski prihodi i primici svih proračunskih korisnika državnog proračuna, pri čemu kod dijela ustanova nisu dio novčanog tijeka </w:t>
      </w:r>
      <w:r w:rsidR="00A3166B" w:rsidRPr="004259D0">
        <w:rPr>
          <w:lang w:val="hr-HR"/>
        </w:rPr>
        <w:t>sustava D</w:t>
      </w:r>
      <w:r w:rsidRPr="004259D0">
        <w:rPr>
          <w:lang w:val="hr-HR"/>
        </w:rPr>
        <w:t>ržavne riznice. Temeljem mjesečnih izvještaja ovih ustanova o korištenju vlastitih i namjenskih prihoda, p</w:t>
      </w:r>
      <w:r w:rsidR="00A3166B" w:rsidRPr="004259D0">
        <w:rPr>
          <w:lang w:val="hr-HR"/>
        </w:rPr>
        <w:t>rovode se evidencije u sustavu D</w:t>
      </w:r>
      <w:r w:rsidRPr="004259D0">
        <w:rPr>
          <w:lang w:val="hr-HR"/>
        </w:rPr>
        <w:t>ržavne riznice. U planu je provedba detaljne analize s ciljem utvrđivanja prostora za poboljšanje evidentiranja o ostvarenju i korištenju namjenskih prihoda i primitaka te vlastitih prihoda navedenih ustanova, a kako bi podaci u izvještajima o izvršenju državnog proračuna bili jednoobrazno iskazani. Kako je praćenje i kontrola ovih kategorija prihoda važna sastavnica fiskalne odgovornosti, razmotrit će se i uvođenje obveze ministarstvima i JLP</w:t>
      </w:r>
      <w:r w:rsidR="00B84CDF" w:rsidRPr="004259D0">
        <w:rPr>
          <w:lang w:val="hr-HR"/>
        </w:rPr>
        <w:t>(</w:t>
      </w:r>
      <w:r w:rsidRPr="004259D0">
        <w:rPr>
          <w:lang w:val="hr-HR"/>
        </w:rPr>
        <w:t>R</w:t>
      </w:r>
      <w:r w:rsidR="00B84CDF" w:rsidRPr="004259D0">
        <w:rPr>
          <w:lang w:val="hr-HR"/>
        </w:rPr>
        <w:t>)</w:t>
      </w:r>
      <w:r w:rsidRPr="004259D0">
        <w:rPr>
          <w:lang w:val="hr-HR"/>
        </w:rPr>
        <w:t>S za donošenje akata kojim će se formalno urediti ostvarivanje i korištenje namjenskih prihoda i primitaka te vlastitih prihoda njihovih korisnika.</w:t>
      </w:r>
    </w:p>
    <w:p w14:paraId="689F3748" w14:textId="52C67285" w:rsidR="008501AD" w:rsidRPr="004259D0" w:rsidRDefault="008501AD" w:rsidP="008501AD">
      <w:pPr>
        <w:jc w:val="both"/>
        <w:rPr>
          <w:lang w:val="hr-HR"/>
        </w:rPr>
      </w:pPr>
      <w:r w:rsidRPr="004259D0">
        <w:rPr>
          <w:lang w:val="hr-HR"/>
        </w:rPr>
        <w:t xml:space="preserve">Novi Zakon o proračunu unaprijedit će i okvir zaduživanja </w:t>
      </w:r>
      <w:r w:rsidR="00B84CDF" w:rsidRPr="004259D0">
        <w:rPr>
          <w:lang w:val="hr-HR"/>
        </w:rPr>
        <w:t>JLP(R)S</w:t>
      </w:r>
      <w:r w:rsidRPr="004259D0">
        <w:rPr>
          <w:lang w:val="hr-HR"/>
        </w:rPr>
        <w:t xml:space="preserve">. Prema postojećem Zakonu, </w:t>
      </w:r>
      <w:r w:rsidR="00B84CDF" w:rsidRPr="004259D0">
        <w:rPr>
          <w:lang w:val="hr-HR"/>
        </w:rPr>
        <w:t xml:space="preserve">JLP(R)S </w:t>
      </w:r>
      <w:r w:rsidRPr="004259D0">
        <w:rPr>
          <w:lang w:val="hr-HR"/>
        </w:rPr>
        <w:t xml:space="preserve">se može dugoročno zadužiti (uzimanjem kredita i davanjem jamstva/suglasnosti) samo za investiciju koja se financira iz njezina proračuna, a koju potvrdi njezino predstavničko tijelo, uz prethodno dobivenu suglasnost Vlade RH. Pritom, njena ukupna obveza </w:t>
      </w:r>
      <w:r w:rsidR="00BB37AD" w:rsidRPr="004259D0">
        <w:rPr>
          <w:lang w:val="hr-HR"/>
        </w:rPr>
        <w:t xml:space="preserve">ne smije prelaziti 20% </w:t>
      </w:r>
      <w:r w:rsidRPr="004259D0">
        <w:rPr>
          <w:lang w:val="hr-HR"/>
        </w:rPr>
        <w:t>ostvarenih prihoda u godini koja prethodi godini u kojoj se zadužuje, umanjenih za prihode od pomoći i donacija te prihode ostvarene temeljem dodatnog udjela u porezu na dohodak i pomoći izravnanja za financiranje decentraliziranih funkcija. Kontrola fis</w:t>
      </w:r>
      <w:r w:rsidR="00BB37AD" w:rsidRPr="004259D0">
        <w:rPr>
          <w:lang w:val="hr-HR"/>
        </w:rPr>
        <w:t xml:space="preserve">kalnog ograničenja navedenih 20% </w:t>
      </w:r>
      <w:r w:rsidRPr="004259D0">
        <w:rPr>
          <w:lang w:val="hr-HR"/>
        </w:rPr>
        <w:t xml:space="preserve">ne odnosi se na projekte </w:t>
      </w:r>
      <w:r w:rsidR="00B84CDF" w:rsidRPr="004259D0">
        <w:rPr>
          <w:lang w:val="hr-HR"/>
        </w:rPr>
        <w:t xml:space="preserve">JLP(R)S </w:t>
      </w:r>
      <w:r w:rsidRPr="004259D0">
        <w:rPr>
          <w:lang w:val="hr-HR"/>
        </w:rPr>
        <w:t xml:space="preserve">koji se sufinanciraju iz sredstava EU. U navedenim slučajevima nije potrebna suglasnost Vlade RH za zaduženje, već samo suglasnost ministra financija. Međutim, budući da se značajno povećava udio zaduživanja za sufinanciranje projekata iz sredstava EU u odnosu na prihode pojedinih </w:t>
      </w:r>
      <w:r w:rsidR="00B84CDF" w:rsidRPr="004259D0">
        <w:rPr>
          <w:lang w:val="hr-HR"/>
        </w:rPr>
        <w:t>JLP(R)</w:t>
      </w:r>
      <w:r w:rsidR="00FA584C" w:rsidRPr="004259D0">
        <w:rPr>
          <w:lang w:val="hr-HR"/>
        </w:rPr>
        <w:t>S</w:t>
      </w:r>
      <w:r w:rsidRPr="004259D0">
        <w:rPr>
          <w:lang w:val="hr-HR"/>
        </w:rPr>
        <w:t xml:space="preserve">, potrebno je razmotriti uvođenja ograničenja u odnosu na prihode jedinice. Pri tome treba voditi računa da novi mehanizmi ne uspore ugovaranje i provedbu EU projekata. Propisat će se i situacije u kojima nije potrebna ponovna suglasnost Vlade RH </w:t>
      </w:r>
      <w:r w:rsidR="0010141F" w:rsidRPr="004259D0">
        <w:rPr>
          <w:lang w:val="hr-HR"/>
        </w:rPr>
        <w:t>ako</w:t>
      </w:r>
      <w:r w:rsidRPr="004259D0">
        <w:rPr>
          <w:lang w:val="hr-HR"/>
        </w:rPr>
        <w:t xml:space="preserve"> se promjene uvjeti kredita ili zajma tako da su povoljniji odnosno da smanjuju teret zaduženja za </w:t>
      </w:r>
      <w:r w:rsidR="00B84CDF" w:rsidRPr="004259D0">
        <w:rPr>
          <w:lang w:val="hr-HR"/>
        </w:rPr>
        <w:t>JLP(R)</w:t>
      </w:r>
      <w:r w:rsidR="00FA584C" w:rsidRPr="004259D0">
        <w:rPr>
          <w:lang w:val="hr-HR"/>
        </w:rPr>
        <w:t>S</w:t>
      </w:r>
      <w:r w:rsidRPr="004259D0">
        <w:rPr>
          <w:lang w:val="hr-HR"/>
        </w:rPr>
        <w:t>.</w:t>
      </w:r>
    </w:p>
    <w:p w14:paraId="6FCD0D1C" w14:textId="334DC13D" w:rsidR="00B65F48" w:rsidRPr="004259D0" w:rsidRDefault="00533BB9" w:rsidP="00533BB9">
      <w:pPr>
        <w:jc w:val="both"/>
        <w:rPr>
          <w:lang w:val="hr-HR"/>
        </w:rPr>
      </w:pPr>
      <w:r w:rsidRPr="004259D0">
        <w:rPr>
          <w:lang w:val="hr-HR"/>
        </w:rPr>
        <w:t xml:space="preserve">Poseban naglasak bit će stavljen na odredbe koje se odnose na državna jamstva. Naime, važeći zakonodavni okvir temelji se na godišnjim zakonima o izvršavanju državnog proračuna, odnosno na pojedinačnim odlukama o davanju državnih jamstava, kao i na ugovorima koji se sklapaju na temelju takvih odluka Vlade </w:t>
      </w:r>
      <w:r w:rsidR="00CE499C" w:rsidRPr="004259D0">
        <w:rPr>
          <w:lang w:val="hr-HR"/>
        </w:rPr>
        <w:t>RH</w:t>
      </w:r>
      <w:r w:rsidRPr="004259D0">
        <w:rPr>
          <w:lang w:val="hr-HR"/>
        </w:rPr>
        <w:t>, a kojima se utvrđuju prava i obveze svih dionika ovog postupka.</w:t>
      </w:r>
      <w:r w:rsidR="00CE499C" w:rsidRPr="004259D0">
        <w:rPr>
          <w:lang w:val="hr-HR"/>
        </w:rPr>
        <w:t xml:space="preserve"> </w:t>
      </w:r>
      <w:r w:rsidRPr="004259D0">
        <w:rPr>
          <w:lang w:val="hr-HR"/>
        </w:rPr>
        <w:t xml:space="preserve">U novom Zakonu objedinit će se </w:t>
      </w:r>
      <w:r w:rsidR="00CE499C" w:rsidRPr="004259D0">
        <w:rPr>
          <w:lang w:val="hr-HR"/>
        </w:rPr>
        <w:t xml:space="preserve">i </w:t>
      </w:r>
      <w:r w:rsidRPr="004259D0">
        <w:rPr>
          <w:lang w:val="hr-HR"/>
        </w:rPr>
        <w:t>odredbe o državnim jamstvima, koje su sada sadržane u različitim propisima i aktima, što će pridonijeti jasnijem uređenju navedene tematike te će se unaprijediti sustav njihova praćenja.</w:t>
      </w:r>
    </w:p>
    <w:p w14:paraId="49A0B9F3" w14:textId="77777777" w:rsidR="00CE499C" w:rsidRPr="004259D0" w:rsidRDefault="00CE499C" w:rsidP="00CE499C">
      <w:pPr>
        <w:jc w:val="both"/>
        <w:rPr>
          <w:lang w:val="hr-HR"/>
        </w:rPr>
      </w:pPr>
      <w:r w:rsidRPr="004259D0">
        <w:rPr>
          <w:lang w:val="hr-HR"/>
        </w:rPr>
        <w:t>U svrhu unaprjeđenja fiskalne statistike uspostavit će se i učinkovitiji sustav financijskog i statističkog izvještavanja, posebno onih izvanproračunskih korisnika koji ulaze u sektor opće države prema metodologiji ESA 2010. Nadalje, Zakonom o proračunu propisat će se i obveza objave informacija o potencijalnim obvezama sa značajnim učinkom na proračun, kao i obveza definiranja sadržaja, vremenskog razdoblja te obuhvata i načina objave informacija o učincima poreznih rashoda na prihode. Isto tako, predviđeno je i da će se propisati način praćenja i objave fiskalnih podataka za opći proračun prema metodologiji ESA 2010.</w:t>
      </w:r>
    </w:p>
    <w:p w14:paraId="287CCB4F" w14:textId="77777777" w:rsidR="003B75AE" w:rsidRPr="004259D0" w:rsidRDefault="003B75AE" w:rsidP="00194D16">
      <w:pPr>
        <w:jc w:val="both"/>
        <w:rPr>
          <w:lang w:val="hr-HR"/>
        </w:rPr>
      </w:pPr>
    </w:p>
    <w:p w14:paraId="56904AF9" w14:textId="77777777" w:rsidR="007F1565" w:rsidRPr="004259D0" w:rsidRDefault="007F1565" w:rsidP="00194D16">
      <w:pPr>
        <w:jc w:val="both"/>
        <w:rPr>
          <w:lang w:val="hr-HR"/>
        </w:rPr>
      </w:pPr>
    </w:p>
    <w:p w14:paraId="789911EA" w14:textId="77777777" w:rsidR="007F1565" w:rsidRPr="004259D0" w:rsidRDefault="007F1565" w:rsidP="00194D16">
      <w:pPr>
        <w:jc w:val="both"/>
        <w:rPr>
          <w:lang w:val="hr-HR"/>
        </w:rPr>
        <w:sectPr w:rsidR="007F1565" w:rsidRPr="004259D0" w:rsidSect="0023101F">
          <w:pgSz w:w="11906" w:h="16838"/>
          <w:pgMar w:top="1417" w:right="1417" w:bottom="1417" w:left="1417" w:header="708" w:footer="708" w:gutter="0"/>
          <w:cols w:space="708"/>
          <w:docGrid w:linePitch="360"/>
        </w:sectPr>
      </w:pPr>
    </w:p>
    <w:p w14:paraId="23512795" w14:textId="77777777" w:rsidR="00065BDD" w:rsidRPr="004259D0" w:rsidRDefault="005D4111" w:rsidP="009E0C96">
      <w:pPr>
        <w:pStyle w:val="Heading1"/>
        <w:rPr>
          <w:sz w:val="32"/>
          <w:lang w:val="hr-HR"/>
        </w:rPr>
      </w:pPr>
      <w:bookmarkStart w:id="58" w:name="_Toc6418632"/>
      <w:r w:rsidRPr="004259D0">
        <w:rPr>
          <w:sz w:val="32"/>
          <w:lang w:val="hr-HR"/>
        </w:rPr>
        <w:t>PRILOZI</w:t>
      </w:r>
      <w:bookmarkEnd w:id="58"/>
    </w:p>
    <w:p w14:paraId="7B68566B" w14:textId="77777777" w:rsidR="008103FE" w:rsidRPr="004259D0" w:rsidRDefault="008103FE" w:rsidP="008103FE">
      <w:pPr>
        <w:rPr>
          <w:lang w:val="hr-HR"/>
        </w:rPr>
      </w:pPr>
    </w:p>
    <w:p w14:paraId="6CC83829" w14:textId="77777777" w:rsidR="00BC76FA" w:rsidRPr="004259D0" w:rsidRDefault="00E54C96" w:rsidP="00E54C96">
      <w:pPr>
        <w:spacing w:after="0" w:line="240" w:lineRule="auto"/>
        <w:jc w:val="both"/>
        <w:rPr>
          <w:i/>
          <w:lang w:val="hr-HR"/>
        </w:rPr>
      </w:pPr>
      <w:bookmarkStart w:id="59" w:name="_Toc6418654"/>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w:instrText>
      </w:r>
      <w:r w:rsidR="00051649" w:rsidRPr="004259D0">
        <w:rPr>
          <w:i/>
          <w:lang w:val="hr-HR"/>
        </w:rPr>
        <w:fldChar w:fldCharType="separate"/>
      </w:r>
      <w:r w:rsidR="00572AFD">
        <w:rPr>
          <w:i/>
          <w:noProof/>
          <w:lang w:val="hr-HR"/>
        </w:rPr>
        <w:t>1</w:t>
      </w:r>
      <w:r w:rsidR="00051649" w:rsidRPr="004259D0">
        <w:rPr>
          <w:i/>
          <w:lang w:val="hr-HR"/>
        </w:rPr>
        <w:fldChar w:fldCharType="end"/>
      </w:r>
      <w:r w:rsidR="00051649" w:rsidRPr="004259D0">
        <w:rPr>
          <w:i/>
          <w:lang w:val="hr-HR"/>
        </w:rPr>
        <w:t>a</w:t>
      </w:r>
      <w:r w:rsidRPr="004259D0">
        <w:rPr>
          <w:i/>
          <w:lang w:val="hr-HR"/>
        </w:rPr>
        <w:t>.</w:t>
      </w:r>
      <w:r w:rsidR="00BC76FA" w:rsidRPr="004259D0">
        <w:rPr>
          <w:i/>
          <w:lang w:val="hr-HR"/>
        </w:rPr>
        <w:t xml:space="preserve"> Makroekonomski izgledi</w:t>
      </w:r>
      <w:bookmarkEnd w:id="59"/>
    </w:p>
    <w:p w14:paraId="6F7EEBC2" w14:textId="46156792" w:rsidR="00F172DA" w:rsidRPr="004259D0" w:rsidRDefault="00F172DA" w:rsidP="00E54C96">
      <w:pPr>
        <w:spacing w:after="0" w:line="240" w:lineRule="auto"/>
        <w:jc w:val="both"/>
        <w:rPr>
          <w:i/>
          <w:lang w:val="hr-HR"/>
        </w:rPr>
      </w:pPr>
      <w:r w:rsidRPr="004259D0">
        <w:rPr>
          <w:noProof/>
          <w:lang w:val="hr-HR" w:eastAsia="hr-HR"/>
        </w:rPr>
        <w:drawing>
          <wp:inline distT="0" distB="0" distL="0" distR="0" wp14:anchorId="12562F36" wp14:editId="427FC850">
            <wp:extent cx="5759450" cy="2428592"/>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2428592"/>
                    </a:xfrm>
                    <a:prstGeom prst="rect">
                      <a:avLst/>
                    </a:prstGeom>
                    <a:noFill/>
                    <a:ln>
                      <a:noFill/>
                    </a:ln>
                  </pic:spPr>
                </pic:pic>
              </a:graphicData>
            </a:graphic>
          </wp:inline>
        </w:drawing>
      </w:r>
    </w:p>
    <w:p w14:paraId="48FE11A0" w14:textId="77777777" w:rsidR="008103FE" w:rsidRPr="004259D0" w:rsidRDefault="004E5ED0" w:rsidP="009918F2">
      <w:pPr>
        <w:spacing w:after="0"/>
        <w:jc w:val="both"/>
        <w:rPr>
          <w:i/>
          <w:sz w:val="20"/>
          <w:lang w:val="hr-HR"/>
        </w:rPr>
      </w:pPr>
      <w:r w:rsidRPr="004259D0">
        <w:rPr>
          <w:i/>
          <w:sz w:val="20"/>
          <w:lang w:val="hr-HR"/>
        </w:rPr>
        <w:t>Napomena: BDP i njegove komponente izražene u realnim iznosima su u stalnim cijenama, u cijenama prethodne godine, u milijunima kuna.</w:t>
      </w:r>
    </w:p>
    <w:p w14:paraId="55F6FE7E" w14:textId="77777777" w:rsidR="009918F2" w:rsidRPr="004259D0" w:rsidRDefault="009918F2" w:rsidP="009918F2">
      <w:pPr>
        <w:spacing w:after="0"/>
        <w:jc w:val="both"/>
        <w:rPr>
          <w:i/>
          <w:sz w:val="20"/>
          <w:lang w:val="hr-HR"/>
        </w:rPr>
      </w:pPr>
      <w:r w:rsidRPr="004259D0">
        <w:rPr>
          <w:i/>
          <w:sz w:val="20"/>
          <w:vertAlign w:val="superscript"/>
          <w:lang w:val="hr-HR"/>
        </w:rPr>
        <w:t>1</w:t>
      </w:r>
      <w:r w:rsidRPr="004259D0">
        <w:rPr>
          <w:i/>
          <w:sz w:val="20"/>
          <w:lang w:val="hr-HR"/>
        </w:rPr>
        <w:t xml:space="preserve"> </w:t>
      </w:r>
      <w:r w:rsidR="004E5ED0" w:rsidRPr="004259D0">
        <w:rPr>
          <w:i/>
          <w:sz w:val="20"/>
          <w:lang w:val="hr-HR"/>
        </w:rPr>
        <w:t xml:space="preserve">Uključujući potrošnju neprofitnih ustanova koje služe kućanstvima.  </w:t>
      </w:r>
    </w:p>
    <w:p w14:paraId="1ECA5FF6" w14:textId="4B31A21E" w:rsidR="00B253FC" w:rsidRPr="004259D0" w:rsidRDefault="00B253FC" w:rsidP="009918F2">
      <w:pPr>
        <w:spacing w:after="0"/>
        <w:jc w:val="both"/>
        <w:rPr>
          <w:i/>
          <w:sz w:val="20"/>
          <w:lang w:val="hr-HR"/>
        </w:rPr>
      </w:pPr>
      <w:r w:rsidRPr="004259D0">
        <w:rPr>
          <w:i/>
          <w:sz w:val="20"/>
          <w:lang w:val="hr-HR"/>
        </w:rPr>
        <w:t>Napomena: Podaci za 2018. su preliminarni.</w:t>
      </w:r>
    </w:p>
    <w:p w14:paraId="7F8DF9AB" w14:textId="77777777" w:rsidR="009918F2" w:rsidRPr="004259D0" w:rsidRDefault="009918F2" w:rsidP="00595346">
      <w:pPr>
        <w:jc w:val="both"/>
        <w:rPr>
          <w:i/>
          <w:sz w:val="20"/>
          <w:lang w:val="hr-HR"/>
        </w:rPr>
      </w:pPr>
      <w:r w:rsidRPr="004259D0">
        <w:rPr>
          <w:i/>
          <w:sz w:val="20"/>
          <w:lang w:val="hr-HR"/>
        </w:rPr>
        <w:t xml:space="preserve">Izvor: DZS, </w:t>
      </w:r>
      <w:r w:rsidR="00647EB8" w:rsidRPr="004259D0">
        <w:rPr>
          <w:i/>
          <w:sz w:val="20"/>
          <w:lang w:val="hr-HR"/>
        </w:rPr>
        <w:t>MFIN</w:t>
      </w:r>
    </w:p>
    <w:p w14:paraId="04B0036B" w14:textId="77777777" w:rsidR="00913FA9" w:rsidRPr="004259D0" w:rsidRDefault="00913FA9" w:rsidP="008D0CF0">
      <w:pPr>
        <w:spacing w:after="240" w:line="240" w:lineRule="auto"/>
        <w:jc w:val="both"/>
        <w:rPr>
          <w:i/>
          <w:lang w:val="hr-HR"/>
        </w:rPr>
      </w:pPr>
    </w:p>
    <w:p w14:paraId="6F7FE1BB" w14:textId="77777777" w:rsidR="008103FE" w:rsidRPr="004259D0" w:rsidRDefault="00AB12FE" w:rsidP="00AB12FE">
      <w:pPr>
        <w:spacing w:after="0" w:line="240" w:lineRule="auto"/>
        <w:jc w:val="both"/>
        <w:rPr>
          <w:i/>
          <w:lang w:val="hr-HR"/>
        </w:rPr>
      </w:pPr>
      <w:bookmarkStart w:id="60" w:name="_Toc6418655"/>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\r 1 </w:instrText>
      </w:r>
      <w:r w:rsidR="00051649" w:rsidRPr="004259D0">
        <w:rPr>
          <w:i/>
          <w:lang w:val="hr-HR"/>
        </w:rPr>
        <w:fldChar w:fldCharType="separate"/>
      </w:r>
      <w:r w:rsidR="00572AFD">
        <w:rPr>
          <w:i/>
          <w:noProof/>
          <w:lang w:val="hr-HR"/>
        </w:rPr>
        <w:t>1</w:t>
      </w:r>
      <w:r w:rsidR="00051649" w:rsidRPr="004259D0">
        <w:rPr>
          <w:i/>
          <w:lang w:val="hr-HR"/>
        </w:rPr>
        <w:fldChar w:fldCharType="end"/>
      </w:r>
      <w:r w:rsidR="00051649" w:rsidRPr="004259D0">
        <w:rPr>
          <w:i/>
          <w:lang w:val="hr-HR"/>
        </w:rPr>
        <w:t>b</w:t>
      </w:r>
      <w:r w:rsidR="008D0CF0" w:rsidRPr="004259D0">
        <w:rPr>
          <w:i/>
          <w:lang w:val="hr-HR"/>
        </w:rPr>
        <w:t xml:space="preserve">. </w:t>
      </w:r>
      <w:r w:rsidR="008103FE" w:rsidRPr="004259D0">
        <w:rPr>
          <w:i/>
          <w:lang w:val="hr-HR"/>
        </w:rPr>
        <w:t>Kretanje cijena</w:t>
      </w:r>
      <w:bookmarkEnd w:id="60"/>
    </w:p>
    <w:p w14:paraId="1803B62D" w14:textId="01EBECC1" w:rsidR="007674B4" w:rsidRPr="004259D0" w:rsidRDefault="00F172DA" w:rsidP="00AB12FE">
      <w:pPr>
        <w:spacing w:after="0" w:line="240" w:lineRule="auto"/>
        <w:jc w:val="both"/>
        <w:rPr>
          <w:i/>
          <w:lang w:val="hr-HR"/>
        </w:rPr>
      </w:pPr>
      <w:r w:rsidRPr="004259D0">
        <w:rPr>
          <w:noProof/>
          <w:lang w:val="hr-HR" w:eastAsia="hr-HR"/>
        </w:rPr>
        <w:drawing>
          <wp:inline distT="0" distB="0" distL="0" distR="0" wp14:anchorId="49301E39" wp14:editId="0400953D">
            <wp:extent cx="5759450" cy="1932206"/>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1932206"/>
                    </a:xfrm>
                    <a:prstGeom prst="rect">
                      <a:avLst/>
                    </a:prstGeom>
                    <a:noFill/>
                    <a:ln>
                      <a:noFill/>
                    </a:ln>
                  </pic:spPr>
                </pic:pic>
              </a:graphicData>
            </a:graphic>
          </wp:inline>
        </w:drawing>
      </w:r>
    </w:p>
    <w:p w14:paraId="61709DE8" w14:textId="77777777" w:rsidR="009918F2" w:rsidRPr="004259D0" w:rsidRDefault="009918F2" w:rsidP="009918F2">
      <w:pPr>
        <w:spacing w:after="0"/>
        <w:jc w:val="both"/>
        <w:rPr>
          <w:i/>
          <w:sz w:val="20"/>
          <w:lang w:val="hr-HR"/>
        </w:rPr>
      </w:pPr>
      <w:r w:rsidRPr="004259D0">
        <w:rPr>
          <w:i/>
          <w:sz w:val="20"/>
          <w:vertAlign w:val="superscript"/>
          <w:lang w:val="hr-HR"/>
        </w:rPr>
        <w:t>1</w:t>
      </w:r>
      <w:r w:rsidRPr="004259D0">
        <w:rPr>
          <w:i/>
          <w:sz w:val="20"/>
          <w:lang w:val="hr-HR"/>
        </w:rPr>
        <w:t xml:space="preserve"> </w:t>
      </w:r>
      <w:r w:rsidR="004E5ED0" w:rsidRPr="004259D0">
        <w:rPr>
          <w:i/>
          <w:sz w:val="20"/>
          <w:lang w:val="hr-HR"/>
        </w:rPr>
        <w:t xml:space="preserve">Uključujući potrošnju neprofitnih ustanova koje služe kućanstvima.  </w:t>
      </w:r>
    </w:p>
    <w:p w14:paraId="3866CB03" w14:textId="77777777" w:rsidR="004E5ED0" w:rsidRPr="004259D0" w:rsidRDefault="004E5ED0" w:rsidP="009918F2">
      <w:pPr>
        <w:spacing w:after="0"/>
        <w:jc w:val="both"/>
        <w:rPr>
          <w:i/>
          <w:sz w:val="20"/>
          <w:lang w:val="hr-HR"/>
        </w:rPr>
      </w:pPr>
      <w:r w:rsidRPr="004259D0">
        <w:rPr>
          <w:i/>
          <w:sz w:val="20"/>
          <w:vertAlign w:val="superscript"/>
          <w:lang w:val="hr-HR"/>
        </w:rPr>
        <w:t xml:space="preserve">2 </w:t>
      </w:r>
      <w:r w:rsidRPr="004259D0">
        <w:rPr>
          <w:i/>
          <w:sz w:val="20"/>
          <w:lang w:val="hr-HR"/>
        </w:rPr>
        <w:t>Inflacija je mjerena indeksom potrošačkih cijena.</w:t>
      </w:r>
    </w:p>
    <w:p w14:paraId="7DC8E475" w14:textId="40FCFBCF" w:rsidR="00B253FC" w:rsidRPr="004259D0" w:rsidRDefault="00B253FC" w:rsidP="009918F2">
      <w:pPr>
        <w:spacing w:after="0"/>
        <w:jc w:val="both"/>
        <w:rPr>
          <w:i/>
          <w:sz w:val="20"/>
          <w:lang w:val="hr-HR"/>
        </w:rPr>
      </w:pPr>
      <w:r w:rsidRPr="004259D0">
        <w:rPr>
          <w:i/>
          <w:sz w:val="20"/>
          <w:lang w:val="hr-HR"/>
        </w:rPr>
        <w:t>Napomena: Razine za 2018. iskazane su kao indeks 2010.=100.</w:t>
      </w:r>
    </w:p>
    <w:p w14:paraId="4A254266" w14:textId="379F5BAC" w:rsidR="00B253FC" w:rsidRPr="004259D0" w:rsidRDefault="00B253FC" w:rsidP="009918F2">
      <w:pPr>
        <w:spacing w:after="0"/>
        <w:jc w:val="both"/>
        <w:rPr>
          <w:i/>
          <w:sz w:val="20"/>
          <w:lang w:val="hr-HR"/>
        </w:rPr>
      </w:pPr>
      <w:r w:rsidRPr="004259D0">
        <w:rPr>
          <w:i/>
          <w:sz w:val="20"/>
          <w:lang w:val="hr-HR"/>
        </w:rPr>
        <w:t>Napomena: Podaci za 2018. su preliminarni.</w:t>
      </w:r>
    </w:p>
    <w:p w14:paraId="5A8703FC" w14:textId="77777777" w:rsidR="008103FE" w:rsidRPr="004259D0" w:rsidRDefault="008103FE" w:rsidP="00595346">
      <w:pPr>
        <w:jc w:val="both"/>
        <w:rPr>
          <w:i/>
          <w:sz w:val="20"/>
          <w:lang w:val="hr-HR"/>
        </w:rPr>
      </w:pPr>
      <w:r w:rsidRPr="004259D0">
        <w:rPr>
          <w:i/>
          <w:sz w:val="20"/>
          <w:lang w:val="hr-HR"/>
        </w:rPr>
        <w:t xml:space="preserve">Izvor: DZS, </w:t>
      </w:r>
      <w:r w:rsidR="00647EB8" w:rsidRPr="004259D0">
        <w:rPr>
          <w:i/>
          <w:sz w:val="20"/>
          <w:lang w:val="hr-HR"/>
        </w:rPr>
        <w:t>MFIN</w:t>
      </w:r>
    </w:p>
    <w:p w14:paraId="08B0C8D8" w14:textId="77777777" w:rsidR="00E52E0B" w:rsidRPr="004259D0" w:rsidRDefault="00E52E0B" w:rsidP="008103FE">
      <w:pPr>
        <w:spacing w:after="240"/>
        <w:jc w:val="both"/>
        <w:rPr>
          <w:i/>
          <w:lang w:val="hr-HR"/>
        </w:rPr>
      </w:pPr>
      <w:r w:rsidRPr="004259D0">
        <w:rPr>
          <w:i/>
          <w:lang w:val="hr-HR"/>
        </w:rPr>
        <w:br w:type="page"/>
      </w:r>
    </w:p>
    <w:p w14:paraId="0115C856" w14:textId="77777777" w:rsidR="008103FE" w:rsidRPr="004259D0" w:rsidRDefault="00AB12FE" w:rsidP="00AB12FE">
      <w:pPr>
        <w:spacing w:after="0" w:line="240" w:lineRule="auto"/>
        <w:jc w:val="both"/>
        <w:rPr>
          <w:i/>
          <w:lang w:val="hr-HR"/>
        </w:rPr>
      </w:pPr>
      <w:bookmarkStart w:id="61" w:name="_Toc6418656"/>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\r 1 </w:instrText>
      </w:r>
      <w:r w:rsidR="00051649" w:rsidRPr="004259D0">
        <w:rPr>
          <w:i/>
          <w:lang w:val="hr-HR"/>
        </w:rPr>
        <w:fldChar w:fldCharType="separate"/>
      </w:r>
      <w:r w:rsidR="00572AFD">
        <w:rPr>
          <w:i/>
          <w:noProof/>
          <w:lang w:val="hr-HR"/>
        </w:rPr>
        <w:t>1</w:t>
      </w:r>
      <w:r w:rsidR="00051649" w:rsidRPr="004259D0">
        <w:rPr>
          <w:i/>
          <w:lang w:val="hr-HR"/>
        </w:rPr>
        <w:fldChar w:fldCharType="end"/>
      </w:r>
      <w:r w:rsidR="00051649" w:rsidRPr="004259D0">
        <w:rPr>
          <w:i/>
          <w:lang w:val="hr-HR"/>
        </w:rPr>
        <w:t>c</w:t>
      </w:r>
      <w:r w:rsidR="008D0CF0" w:rsidRPr="004259D0">
        <w:rPr>
          <w:i/>
          <w:lang w:val="hr-HR"/>
        </w:rPr>
        <w:t>.</w:t>
      </w:r>
      <w:r w:rsidR="008103FE" w:rsidRPr="004259D0">
        <w:rPr>
          <w:i/>
          <w:lang w:val="hr-HR"/>
        </w:rPr>
        <w:t xml:space="preserve"> Kretanja na tržištu rada</w:t>
      </w:r>
      <w:bookmarkEnd w:id="61"/>
    </w:p>
    <w:p w14:paraId="3BB331C2" w14:textId="6F9EF4C3" w:rsidR="007674B4" w:rsidRPr="004259D0" w:rsidRDefault="00F172DA" w:rsidP="00AB12FE">
      <w:pPr>
        <w:spacing w:after="0" w:line="240" w:lineRule="auto"/>
        <w:jc w:val="both"/>
        <w:rPr>
          <w:i/>
          <w:lang w:val="hr-HR"/>
        </w:rPr>
      </w:pPr>
      <w:r w:rsidRPr="004259D0">
        <w:rPr>
          <w:noProof/>
          <w:lang w:val="hr-HR" w:eastAsia="hr-HR"/>
        </w:rPr>
        <w:drawing>
          <wp:inline distT="0" distB="0" distL="0" distR="0" wp14:anchorId="0B9320FD" wp14:editId="072B2210">
            <wp:extent cx="5759450" cy="1665461"/>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450" cy="1665461"/>
                    </a:xfrm>
                    <a:prstGeom prst="rect">
                      <a:avLst/>
                    </a:prstGeom>
                    <a:noFill/>
                    <a:ln>
                      <a:noFill/>
                    </a:ln>
                  </pic:spPr>
                </pic:pic>
              </a:graphicData>
            </a:graphic>
          </wp:inline>
        </w:drawing>
      </w:r>
    </w:p>
    <w:p w14:paraId="6488A0E3" w14:textId="13059287" w:rsidR="0008501E" w:rsidRPr="004259D0" w:rsidRDefault="0008501E" w:rsidP="0008501E">
      <w:pPr>
        <w:spacing w:after="0" w:line="240" w:lineRule="auto"/>
        <w:jc w:val="both"/>
        <w:rPr>
          <w:i/>
          <w:sz w:val="20"/>
          <w:lang w:val="hr-HR"/>
        </w:rPr>
      </w:pPr>
      <w:r w:rsidRPr="004259D0">
        <w:rPr>
          <w:i/>
          <w:sz w:val="20"/>
          <w:vertAlign w:val="superscript"/>
          <w:lang w:val="hr-HR"/>
        </w:rPr>
        <w:t>1</w:t>
      </w:r>
      <w:r w:rsidRPr="004259D0">
        <w:rPr>
          <w:i/>
          <w:sz w:val="20"/>
          <w:lang w:val="hr-HR"/>
        </w:rPr>
        <w:t xml:space="preserve"> </w:t>
      </w:r>
      <w:r w:rsidR="00B253FC" w:rsidRPr="004259D0">
        <w:rPr>
          <w:i/>
          <w:sz w:val="20"/>
          <w:lang w:val="hr-HR"/>
        </w:rPr>
        <w:t>Prema definiciji nacionalnih računa.</w:t>
      </w:r>
    </w:p>
    <w:p w14:paraId="68911FB8" w14:textId="77777777" w:rsidR="0008501E" w:rsidRPr="004259D0" w:rsidRDefault="0008501E" w:rsidP="0008501E">
      <w:pPr>
        <w:spacing w:after="0" w:line="240" w:lineRule="auto"/>
        <w:jc w:val="both"/>
        <w:rPr>
          <w:i/>
          <w:sz w:val="20"/>
          <w:lang w:val="hr-HR"/>
        </w:rPr>
      </w:pPr>
      <w:r w:rsidRPr="004259D0">
        <w:rPr>
          <w:i/>
          <w:sz w:val="20"/>
          <w:vertAlign w:val="superscript"/>
          <w:lang w:val="hr-HR"/>
        </w:rPr>
        <w:t>2</w:t>
      </w:r>
      <w:r w:rsidRPr="004259D0">
        <w:rPr>
          <w:i/>
          <w:sz w:val="20"/>
          <w:lang w:val="hr-HR"/>
        </w:rPr>
        <w:t xml:space="preserve"> </w:t>
      </w:r>
      <w:r w:rsidR="004E5ED0" w:rsidRPr="004259D0">
        <w:rPr>
          <w:i/>
          <w:sz w:val="20"/>
          <w:lang w:val="hr-HR"/>
        </w:rPr>
        <w:t>Prema metodologiji Međunarodne organizacije rada.</w:t>
      </w:r>
    </w:p>
    <w:p w14:paraId="227ACE55" w14:textId="77777777" w:rsidR="0008501E" w:rsidRPr="004259D0" w:rsidRDefault="0008501E" w:rsidP="0008501E">
      <w:pPr>
        <w:spacing w:after="0" w:line="240" w:lineRule="auto"/>
        <w:jc w:val="both"/>
        <w:rPr>
          <w:i/>
          <w:sz w:val="20"/>
          <w:lang w:val="hr-HR"/>
        </w:rPr>
      </w:pPr>
      <w:r w:rsidRPr="004259D0">
        <w:rPr>
          <w:i/>
          <w:sz w:val="20"/>
          <w:vertAlign w:val="superscript"/>
          <w:lang w:val="hr-HR"/>
        </w:rPr>
        <w:t>3</w:t>
      </w:r>
      <w:r w:rsidRPr="004259D0">
        <w:rPr>
          <w:i/>
          <w:sz w:val="20"/>
          <w:lang w:val="hr-HR"/>
        </w:rPr>
        <w:t xml:space="preserve"> </w:t>
      </w:r>
      <w:r w:rsidR="004E5ED0" w:rsidRPr="004259D0">
        <w:rPr>
          <w:i/>
          <w:sz w:val="20"/>
          <w:lang w:val="hr-HR"/>
        </w:rPr>
        <w:t>Realni BDP u stalnim cijenama, u cijenama prethodne godine (2010.=100), po zaposlenom.</w:t>
      </w:r>
    </w:p>
    <w:p w14:paraId="5C4A495A" w14:textId="552745E2" w:rsidR="0008501E" w:rsidRPr="004259D0" w:rsidRDefault="0008501E" w:rsidP="0008501E">
      <w:pPr>
        <w:spacing w:after="0" w:line="240" w:lineRule="auto"/>
        <w:jc w:val="both"/>
        <w:rPr>
          <w:i/>
          <w:sz w:val="20"/>
          <w:lang w:val="hr-HR"/>
        </w:rPr>
      </w:pPr>
      <w:r w:rsidRPr="004259D0">
        <w:rPr>
          <w:i/>
          <w:sz w:val="20"/>
          <w:vertAlign w:val="superscript"/>
          <w:lang w:val="hr-HR"/>
        </w:rPr>
        <w:t>4</w:t>
      </w:r>
      <w:r w:rsidRPr="004259D0">
        <w:rPr>
          <w:i/>
          <w:sz w:val="20"/>
          <w:lang w:val="hr-HR"/>
        </w:rPr>
        <w:t xml:space="preserve"> </w:t>
      </w:r>
      <w:r w:rsidR="004E5ED0" w:rsidRPr="004259D0">
        <w:rPr>
          <w:i/>
          <w:sz w:val="20"/>
          <w:lang w:val="hr-HR"/>
        </w:rPr>
        <w:t>Podatak za razinu 201</w:t>
      </w:r>
      <w:r w:rsidR="00B253FC" w:rsidRPr="004259D0">
        <w:rPr>
          <w:i/>
          <w:sz w:val="20"/>
          <w:lang w:val="hr-HR"/>
        </w:rPr>
        <w:t>8</w:t>
      </w:r>
      <w:r w:rsidR="004E5ED0" w:rsidRPr="004259D0">
        <w:rPr>
          <w:i/>
          <w:sz w:val="20"/>
          <w:lang w:val="hr-HR"/>
        </w:rPr>
        <w:t>. godine je u milijunima HRK.</w:t>
      </w:r>
    </w:p>
    <w:p w14:paraId="28ECDD8F" w14:textId="3ECEDA96" w:rsidR="00BF5C1C" w:rsidRPr="004259D0" w:rsidRDefault="00BF5C1C" w:rsidP="0008501E">
      <w:pPr>
        <w:spacing w:after="0" w:line="240" w:lineRule="auto"/>
        <w:jc w:val="both"/>
        <w:rPr>
          <w:i/>
          <w:sz w:val="20"/>
          <w:lang w:val="hr-HR"/>
        </w:rPr>
      </w:pPr>
      <w:r w:rsidRPr="004259D0">
        <w:rPr>
          <w:i/>
          <w:sz w:val="20"/>
          <w:vertAlign w:val="superscript"/>
          <w:lang w:val="hr-HR"/>
        </w:rPr>
        <w:t xml:space="preserve">5 </w:t>
      </w:r>
      <w:r w:rsidRPr="004259D0">
        <w:rPr>
          <w:i/>
          <w:sz w:val="20"/>
          <w:lang w:val="hr-HR"/>
        </w:rPr>
        <w:t>Podatak za razinu 201</w:t>
      </w:r>
      <w:r w:rsidR="00B253FC" w:rsidRPr="004259D0">
        <w:rPr>
          <w:i/>
          <w:sz w:val="20"/>
          <w:lang w:val="hr-HR"/>
        </w:rPr>
        <w:t>8.</w:t>
      </w:r>
      <w:r w:rsidRPr="004259D0">
        <w:rPr>
          <w:i/>
          <w:sz w:val="20"/>
          <w:lang w:val="hr-HR"/>
        </w:rPr>
        <w:t xml:space="preserve"> godine je prosječna mjesečna naknada po zaposleniku u HRK.</w:t>
      </w:r>
    </w:p>
    <w:p w14:paraId="21FC84F4" w14:textId="6801596C" w:rsidR="005A166A" w:rsidRPr="004259D0" w:rsidRDefault="005A166A" w:rsidP="0008501E">
      <w:pPr>
        <w:spacing w:after="0" w:line="240" w:lineRule="auto"/>
        <w:jc w:val="both"/>
        <w:rPr>
          <w:i/>
          <w:sz w:val="20"/>
          <w:lang w:val="hr-HR"/>
        </w:rPr>
      </w:pPr>
      <w:r w:rsidRPr="004259D0">
        <w:rPr>
          <w:i/>
          <w:sz w:val="20"/>
          <w:lang w:val="hr-HR"/>
        </w:rPr>
        <w:t>Napomena: Podaci za 201</w:t>
      </w:r>
      <w:r w:rsidR="00B253FC" w:rsidRPr="004259D0">
        <w:rPr>
          <w:i/>
          <w:sz w:val="20"/>
          <w:lang w:val="hr-HR"/>
        </w:rPr>
        <w:t>8</w:t>
      </w:r>
      <w:r w:rsidRPr="004259D0">
        <w:rPr>
          <w:i/>
          <w:sz w:val="20"/>
          <w:lang w:val="hr-HR"/>
        </w:rPr>
        <w:t>. su preliminarni.</w:t>
      </w:r>
    </w:p>
    <w:p w14:paraId="6F853B7C" w14:textId="2A77AC6B" w:rsidR="008103FE" w:rsidRPr="004259D0" w:rsidRDefault="008103FE" w:rsidP="00E30DE6">
      <w:pPr>
        <w:jc w:val="both"/>
        <w:rPr>
          <w:i/>
          <w:sz w:val="20"/>
          <w:lang w:val="hr-HR"/>
        </w:rPr>
      </w:pPr>
      <w:r w:rsidRPr="004259D0">
        <w:rPr>
          <w:i/>
          <w:sz w:val="20"/>
          <w:lang w:val="hr-HR"/>
        </w:rPr>
        <w:t xml:space="preserve">Izvor: </w:t>
      </w:r>
      <w:r w:rsidR="00B253FC" w:rsidRPr="004259D0">
        <w:rPr>
          <w:i/>
          <w:sz w:val="20"/>
          <w:lang w:val="hr-HR"/>
        </w:rPr>
        <w:t>DZS, Eurostat, MFIN</w:t>
      </w:r>
    </w:p>
    <w:p w14:paraId="654802C0" w14:textId="77777777" w:rsidR="00913FA9" w:rsidRPr="004259D0" w:rsidRDefault="00913FA9" w:rsidP="008103FE">
      <w:pPr>
        <w:spacing w:after="240"/>
        <w:jc w:val="both"/>
        <w:rPr>
          <w:i/>
          <w:lang w:val="hr-HR"/>
        </w:rPr>
      </w:pPr>
    </w:p>
    <w:p w14:paraId="169E5F96" w14:textId="77777777" w:rsidR="008103FE" w:rsidRPr="004259D0" w:rsidRDefault="00AB12FE" w:rsidP="00AB12FE">
      <w:pPr>
        <w:spacing w:after="0" w:line="240" w:lineRule="auto"/>
        <w:jc w:val="both"/>
        <w:rPr>
          <w:i/>
          <w:lang w:val="hr-HR"/>
        </w:rPr>
      </w:pPr>
      <w:bookmarkStart w:id="62" w:name="_Toc6418657"/>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\r 1 </w:instrText>
      </w:r>
      <w:r w:rsidR="00051649" w:rsidRPr="004259D0">
        <w:rPr>
          <w:i/>
          <w:lang w:val="hr-HR"/>
        </w:rPr>
        <w:fldChar w:fldCharType="separate"/>
      </w:r>
      <w:r w:rsidR="00572AFD">
        <w:rPr>
          <w:i/>
          <w:noProof/>
          <w:lang w:val="hr-HR"/>
        </w:rPr>
        <w:t>1</w:t>
      </w:r>
      <w:r w:rsidR="00051649" w:rsidRPr="004259D0">
        <w:rPr>
          <w:i/>
          <w:lang w:val="hr-HR"/>
        </w:rPr>
        <w:fldChar w:fldCharType="end"/>
      </w:r>
      <w:r w:rsidR="00051649" w:rsidRPr="004259D0">
        <w:rPr>
          <w:i/>
          <w:lang w:val="hr-HR"/>
        </w:rPr>
        <w:t>d</w:t>
      </w:r>
      <w:r w:rsidR="008D0CF0" w:rsidRPr="004259D0">
        <w:rPr>
          <w:i/>
          <w:lang w:val="hr-HR"/>
        </w:rPr>
        <w:t xml:space="preserve">. </w:t>
      </w:r>
      <w:r w:rsidR="008103FE" w:rsidRPr="004259D0">
        <w:rPr>
          <w:i/>
          <w:lang w:val="hr-HR"/>
        </w:rPr>
        <w:t>Saldo pojedinih sektora</w:t>
      </w:r>
      <w:bookmarkEnd w:id="62"/>
    </w:p>
    <w:p w14:paraId="54C5BD2E" w14:textId="2F63ED32" w:rsidR="007674B4" w:rsidRPr="004259D0" w:rsidRDefault="007C6B62" w:rsidP="00AB12FE">
      <w:pPr>
        <w:spacing w:after="0" w:line="240" w:lineRule="auto"/>
        <w:jc w:val="both"/>
        <w:rPr>
          <w:i/>
          <w:lang w:val="hr-HR"/>
        </w:rPr>
      </w:pPr>
      <w:r w:rsidRPr="004259D0">
        <w:rPr>
          <w:noProof/>
          <w:lang w:val="hr-HR" w:eastAsia="hr-HR"/>
        </w:rPr>
        <w:drawing>
          <wp:inline distT="0" distB="0" distL="0" distR="0" wp14:anchorId="52328E2A" wp14:editId="6059320E">
            <wp:extent cx="5759450" cy="1721319"/>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1721319"/>
                    </a:xfrm>
                    <a:prstGeom prst="rect">
                      <a:avLst/>
                    </a:prstGeom>
                    <a:noFill/>
                    <a:ln>
                      <a:noFill/>
                    </a:ln>
                  </pic:spPr>
                </pic:pic>
              </a:graphicData>
            </a:graphic>
          </wp:inline>
        </w:drawing>
      </w:r>
    </w:p>
    <w:p w14:paraId="40F776B0" w14:textId="01D6B478" w:rsidR="00C90812" w:rsidRPr="004259D0" w:rsidRDefault="00C90812" w:rsidP="00B253FC">
      <w:pPr>
        <w:spacing w:after="0" w:line="240" w:lineRule="auto"/>
        <w:jc w:val="both"/>
        <w:rPr>
          <w:i/>
          <w:sz w:val="20"/>
          <w:lang w:val="hr-HR"/>
        </w:rPr>
      </w:pPr>
      <w:r w:rsidRPr="004259D0">
        <w:rPr>
          <w:i/>
          <w:sz w:val="20"/>
          <w:lang w:val="hr-HR"/>
        </w:rPr>
        <w:t>Napomena:</w:t>
      </w:r>
      <w:r w:rsidR="007C6B62" w:rsidRPr="004259D0">
        <w:rPr>
          <w:i/>
          <w:sz w:val="20"/>
          <w:lang w:val="hr-HR"/>
        </w:rPr>
        <w:t xml:space="preserve"> Prema podacima iz nacionalnih računa</w:t>
      </w:r>
      <w:r w:rsidRPr="004259D0">
        <w:rPr>
          <w:i/>
          <w:sz w:val="20"/>
          <w:lang w:val="hr-HR"/>
        </w:rPr>
        <w:t xml:space="preserve">. </w:t>
      </w:r>
    </w:p>
    <w:p w14:paraId="20A47DF1" w14:textId="45022C8D" w:rsidR="00B253FC" w:rsidRPr="004259D0" w:rsidRDefault="00B253FC" w:rsidP="00B253FC">
      <w:pPr>
        <w:spacing w:after="0" w:line="240" w:lineRule="auto"/>
        <w:jc w:val="both"/>
        <w:rPr>
          <w:i/>
          <w:sz w:val="20"/>
          <w:lang w:val="hr-HR"/>
        </w:rPr>
      </w:pPr>
      <w:r w:rsidRPr="004259D0">
        <w:rPr>
          <w:i/>
          <w:sz w:val="20"/>
          <w:lang w:val="hr-HR"/>
        </w:rPr>
        <w:t>Napomena: Podaci za 2018. su preliminarni.</w:t>
      </w:r>
    </w:p>
    <w:p w14:paraId="064A8180" w14:textId="170C8F58" w:rsidR="00FD67D3" w:rsidRPr="004259D0" w:rsidRDefault="008103FE" w:rsidP="00595346">
      <w:pPr>
        <w:jc w:val="both"/>
        <w:rPr>
          <w:i/>
          <w:sz w:val="20"/>
          <w:lang w:val="hr-HR"/>
        </w:rPr>
      </w:pPr>
      <w:r w:rsidRPr="004259D0">
        <w:rPr>
          <w:i/>
          <w:sz w:val="20"/>
          <w:lang w:val="hr-HR"/>
        </w:rPr>
        <w:t xml:space="preserve">Izvor: </w:t>
      </w:r>
      <w:r w:rsidR="00B253FC" w:rsidRPr="004259D0">
        <w:rPr>
          <w:i/>
          <w:sz w:val="20"/>
          <w:lang w:val="hr-HR"/>
        </w:rPr>
        <w:t>HNB, DZS, MFIN</w:t>
      </w:r>
    </w:p>
    <w:p w14:paraId="7356B263" w14:textId="77777777" w:rsidR="00E52E0B" w:rsidRPr="004259D0" w:rsidRDefault="00E52E0B" w:rsidP="008103FE">
      <w:pPr>
        <w:spacing w:after="240"/>
        <w:jc w:val="both"/>
        <w:rPr>
          <w:i/>
          <w:lang w:val="hr-HR"/>
        </w:rPr>
      </w:pPr>
      <w:r w:rsidRPr="004259D0">
        <w:rPr>
          <w:i/>
          <w:lang w:val="hr-HR"/>
        </w:rPr>
        <w:br w:type="page"/>
      </w:r>
    </w:p>
    <w:p w14:paraId="60066438" w14:textId="77777777" w:rsidR="008103FE" w:rsidRPr="004259D0" w:rsidRDefault="00AB12FE" w:rsidP="00AB12FE">
      <w:pPr>
        <w:spacing w:after="0" w:line="240" w:lineRule="auto"/>
        <w:jc w:val="both"/>
        <w:rPr>
          <w:i/>
          <w:lang w:val="hr-HR"/>
        </w:rPr>
      </w:pPr>
      <w:bookmarkStart w:id="63" w:name="_Toc6418658"/>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w:instrText>
      </w:r>
      <w:r w:rsidR="00051649" w:rsidRPr="004259D0">
        <w:rPr>
          <w:i/>
          <w:lang w:val="hr-HR"/>
        </w:rPr>
        <w:fldChar w:fldCharType="separate"/>
      </w:r>
      <w:r w:rsidR="00572AFD">
        <w:rPr>
          <w:i/>
          <w:noProof/>
          <w:lang w:val="hr-HR"/>
        </w:rPr>
        <w:t>2</w:t>
      </w:r>
      <w:r w:rsidR="00051649" w:rsidRPr="004259D0">
        <w:rPr>
          <w:i/>
          <w:lang w:val="hr-HR"/>
        </w:rPr>
        <w:fldChar w:fldCharType="end"/>
      </w:r>
      <w:r w:rsidR="00051649" w:rsidRPr="004259D0">
        <w:rPr>
          <w:i/>
          <w:lang w:val="hr-HR"/>
        </w:rPr>
        <w:t>a</w:t>
      </w:r>
      <w:r w:rsidR="008D0CF0" w:rsidRPr="004259D0">
        <w:rPr>
          <w:i/>
          <w:lang w:val="hr-HR"/>
        </w:rPr>
        <w:t xml:space="preserve">. </w:t>
      </w:r>
      <w:r w:rsidR="008103FE" w:rsidRPr="004259D0">
        <w:rPr>
          <w:i/>
          <w:lang w:val="hr-HR"/>
        </w:rPr>
        <w:t>Proračun opće države</w:t>
      </w:r>
      <w:bookmarkEnd w:id="63"/>
    </w:p>
    <w:p w14:paraId="688F8870" w14:textId="578A345A" w:rsidR="003E2912" w:rsidRPr="004259D0" w:rsidRDefault="003E2912" w:rsidP="00595346">
      <w:pPr>
        <w:jc w:val="both"/>
        <w:rPr>
          <w:noProof/>
          <w:lang w:val="hr-HR" w:eastAsia="hr-HR"/>
        </w:rPr>
      </w:pPr>
      <w:r w:rsidRPr="004259D0">
        <w:rPr>
          <w:noProof/>
          <w:lang w:val="hr-HR" w:eastAsia="hr-HR"/>
        </w:rPr>
        <w:drawing>
          <wp:inline distT="0" distB="0" distL="0" distR="0" wp14:anchorId="18E8BD66" wp14:editId="4DF46FFB">
            <wp:extent cx="5759450" cy="5903745"/>
            <wp:effectExtent l="0" t="0" r="0" b="1905"/>
            <wp:docPr id="45"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0" cy="5903745"/>
                    </a:xfrm>
                    <a:prstGeom prst="rect">
                      <a:avLst/>
                    </a:prstGeom>
                    <a:noFill/>
                    <a:ln>
                      <a:noFill/>
                    </a:ln>
                  </pic:spPr>
                </pic:pic>
              </a:graphicData>
            </a:graphic>
          </wp:inline>
        </w:drawing>
      </w:r>
    </w:p>
    <w:p w14:paraId="703F93AE" w14:textId="4BA3DE2F" w:rsidR="008103FE" w:rsidRPr="004259D0" w:rsidRDefault="008103FE" w:rsidP="00595346">
      <w:pPr>
        <w:jc w:val="both"/>
        <w:rPr>
          <w:i/>
          <w:sz w:val="20"/>
          <w:lang w:val="hr-HR"/>
        </w:rPr>
      </w:pPr>
      <w:r w:rsidRPr="004259D0">
        <w:rPr>
          <w:i/>
          <w:sz w:val="20"/>
          <w:lang w:val="hr-HR"/>
        </w:rPr>
        <w:t xml:space="preserve">Izvor: DZS, </w:t>
      </w:r>
      <w:r w:rsidR="00647EB8" w:rsidRPr="004259D0">
        <w:rPr>
          <w:i/>
          <w:sz w:val="20"/>
          <w:lang w:val="hr-HR"/>
        </w:rPr>
        <w:t>MFIN</w:t>
      </w:r>
    </w:p>
    <w:p w14:paraId="52116429" w14:textId="77777777" w:rsidR="00EA396F" w:rsidRPr="004259D0" w:rsidRDefault="00EA396F" w:rsidP="00EA396F">
      <w:pPr>
        <w:spacing w:after="240"/>
        <w:jc w:val="both"/>
        <w:rPr>
          <w:i/>
          <w:lang w:val="hr-HR"/>
        </w:rPr>
      </w:pPr>
    </w:p>
    <w:p w14:paraId="003C4CBE" w14:textId="77777777" w:rsidR="007914DA" w:rsidRPr="004259D0" w:rsidRDefault="00AB12FE" w:rsidP="00AB12FE">
      <w:pPr>
        <w:spacing w:after="0" w:line="240" w:lineRule="auto"/>
        <w:jc w:val="both"/>
        <w:rPr>
          <w:i/>
          <w:lang w:val="hr-HR"/>
        </w:rPr>
      </w:pPr>
      <w:bookmarkStart w:id="64" w:name="_Toc6418659"/>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\r 2 </w:instrText>
      </w:r>
      <w:r w:rsidR="00051649" w:rsidRPr="004259D0">
        <w:rPr>
          <w:i/>
          <w:lang w:val="hr-HR"/>
        </w:rPr>
        <w:fldChar w:fldCharType="separate"/>
      </w:r>
      <w:r w:rsidR="00572AFD">
        <w:rPr>
          <w:i/>
          <w:noProof/>
          <w:lang w:val="hr-HR"/>
        </w:rPr>
        <w:t>2</w:t>
      </w:r>
      <w:r w:rsidR="00051649" w:rsidRPr="004259D0">
        <w:rPr>
          <w:i/>
          <w:lang w:val="hr-HR"/>
        </w:rPr>
        <w:fldChar w:fldCharType="end"/>
      </w:r>
      <w:r w:rsidR="00051649" w:rsidRPr="004259D0">
        <w:rPr>
          <w:i/>
          <w:lang w:val="hr-HR"/>
        </w:rPr>
        <w:t>b</w:t>
      </w:r>
      <w:r w:rsidR="008D0CF0" w:rsidRPr="004259D0">
        <w:rPr>
          <w:i/>
          <w:lang w:val="hr-HR"/>
        </w:rPr>
        <w:t>.</w:t>
      </w:r>
      <w:r w:rsidR="008103FE" w:rsidRPr="004259D0">
        <w:rPr>
          <w:i/>
          <w:lang w:val="hr-HR"/>
        </w:rPr>
        <w:t xml:space="preserve"> Projekcije bez promjena politike</w:t>
      </w:r>
      <w:bookmarkEnd w:id="64"/>
    </w:p>
    <w:p w14:paraId="78945B33" w14:textId="2BA2B738" w:rsidR="003E2912" w:rsidRPr="004259D0" w:rsidRDefault="003E2912" w:rsidP="00595346">
      <w:pPr>
        <w:jc w:val="both"/>
        <w:rPr>
          <w:noProof/>
          <w:lang w:val="hr-HR" w:eastAsia="hr-HR"/>
        </w:rPr>
      </w:pPr>
      <w:r w:rsidRPr="004259D0">
        <w:rPr>
          <w:noProof/>
          <w:lang w:val="hr-HR" w:eastAsia="hr-HR"/>
        </w:rPr>
        <w:drawing>
          <wp:inline distT="0" distB="0" distL="0" distR="0" wp14:anchorId="0C3F59C2" wp14:editId="61C1599C">
            <wp:extent cx="5759450" cy="710754"/>
            <wp:effectExtent l="0" t="0" r="0" b="0"/>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0" cy="710754"/>
                    </a:xfrm>
                    <a:prstGeom prst="rect">
                      <a:avLst/>
                    </a:prstGeom>
                    <a:noFill/>
                    <a:ln>
                      <a:noFill/>
                    </a:ln>
                  </pic:spPr>
                </pic:pic>
              </a:graphicData>
            </a:graphic>
          </wp:inline>
        </w:drawing>
      </w:r>
    </w:p>
    <w:p w14:paraId="2458D251" w14:textId="3578DBC8" w:rsidR="008103FE" w:rsidRPr="004259D0" w:rsidRDefault="008103FE" w:rsidP="00595346">
      <w:pPr>
        <w:jc w:val="both"/>
        <w:rPr>
          <w:i/>
          <w:sz w:val="20"/>
          <w:lang w:val="hr-HR"/>
        </w:rPr>
      </w:pPr>
      <w:r w:rsidRPr="004259D0">
        <w:rPr>
          <w:i/>
          <w:sz w:val="20"/>
          <w:lang w:val="hr-HR"/>
        </w:rPr>
        <w:t xml:space="preserve">Izvor: DZS, </w:t>
      </w:r>
      <w:r w:rsidR="00647EB8" w:rsidRPr="004259D0">
        <w:rPr>
          <w:i/>
          <w:sz w:val="20"/>
          <w:lang w:val="hr-HR"/>
        </w:rPr>
        <w:t>MFIN</w:t>
      </w:r>
    </w:p>
    <w:p w14:paraId="7E89373A" w14:textId="77777777" w:rsidR="008103FE" w:rsidRPr="004259D0" w:rsidRDefault="008103FE" w:rsidP="008103FE">
      <w:pPr>
        <w:spacing w:after="240"/>
        <w:jc w:val="both"/>
        <w:rPr>
          <w:i/>
          <w:lang w:val="hr-HR"/>
        </w:rPr>
      </w:pPr>
    </w:p>
    <w:p w14:paraId="7118B76F" w14:textId="77777777" w:rsidR="00EA396F" w:rsidRPr="004259D0" w:rsidRDefault="00EA396F" w:rsidP="008103FE">
      <w:pPr>
        <w:spacing w:after="240"/>
        <w:jc w:val="both"/>
        <w:rPr>
          <w:i/>
          <w:lang w:val="hr-HR"/>
        </w:rPr>
      </w:pPr>
      <w:r w:rsidRPr="004259D0">
        <w:rPr>
          <w:i/>
          <w:lang w:val="hr-HR"/>
        </w:rPr>
        <w:br w:type="page"/>
      </w:r>
    </w:p>
    <w:p w14:paraId="5C4217D5" w14:textId="77777777" w:rsidR="008103FE" w:rsidRPr="004259D0" w:rsidRDefault="00AB12FE" w:rsidP="00051649">
      <w:pPr>
        <w:spacing w:after="0" w:line="240" w:lineRule="auto"/>
        <w:jc w:val="both"/>
        <w:rPr>
          <w:i/>
          <w:lang w:val="hr-HR"/>
        </w:rPr>
      </w:pPr>
      <w:bookmarkStart w:id="65" w:name="_Toc6418660"/>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\r 2 </w:instrText>
      </w:r>
      <w:r w:rsidR="00051649" w:rsidRPr="004259D0">
        <w:rPr>
          <w:i/>
          <w:lang w:val="hr-HR"/>
        </w:rPr>
        <w:fldChar w:fldCharType="separate"/>
      </w:r>
      <w:r w:rsidR="00572AFD">
        <w:rPr>
          <w:i/>
          <w:noProof/>
          <w:lang w:val="hr-HR"/>
        </w:rPr>
        <w:t>2</w:t>
      </w:r>
      <w:r w:rsidR="00051649" w:rsidRPr="004259D0">
        <w:rPr>
          <w:i/>
          <w:lang w:val="hr-HR"/>
        </w:rPr>
        <w:fldChar w:fldCharType="end"/>
      </w:r>
      <w:r w:rsidR="00051649" w:rsidRPr="004259D0">
        <w:rPr>
          <w:i/>
          <w:lang w:val="hr-HR"/>
        </w:rPr>
        <w:t>c</w:t>
      </w:r>
      <w:r w:rsidR="008D0CF0" w:rsidRPr="004259D0">
        <w:rPr>
          <w:i/>
          <w:lang w:val="hr-HR"/>
        </w:rPr>
        <w:t>.</w:t>
      </w:r>
      <w:r w:rsidR="008103FE" w:rsidRPr="004259D0">
        <w:rPr>
          <w:i/>
          <w:lang w:val="hr-HR"/>
        </w:rPr>
        <w:t xml:space="preserve"> Iznosi koji trebaju biti izuzeti iz ciljane vrijednosti rashoda</w:t>
      </w:r>
      <w:bookmarkEnd w:id="65"/>
    </w:p>
    <w:p w14:paraId="6E991F9E" w14:textId="6C926CD4" w:rsidR="008103FE" w:rsidRPr="004259D0" w:rsidRDefault="009959BE" w:rsidP="00595346">
      <w:pPr>
        <w:jc w:val="both"/>
        <w:rPr>
          <w:i/>
          <w:sz w:val="20"/>
          <w:lang w:val="hr-HR"/>
        </w:rPr>
      </w:pPr>
      <w:r w:rsidRPr="004259D0">
        <w:rPr>
          <w:noProof/>
          <w:lang w:val="hr-HR" w:eastAsia="hr-HR"/>
        </w:rPr>
        <w:drawing>
          <wp:inline distT="0" distB="0" distL="0" distR="0" wp14:anchorId="48720D34" wp14:editId="0C7E3C95">
            <wp:extent cx="5759450" cy="1371687"/>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9450" cy="1371687"/>
                    </a:xfrm>
                    <a:prstGeom prst="rect">
                      <a:avLst/>
                    </a:prstGeom>
                    <a:noFill/>
                    <a:ln>
                      <a:noFill/>
                    </a:ln>
                  </pic:spPr>
                </pic:pic>
              </a:graphicData>
            </a:graphic>
          </wp:inline>
        </w:drawing>
      </w:r>
      <w:r w:rsidR="008103FE" w:rsidRPr="004259D0">
        <w:rPr>
          <w:i/>
          <w:sz w:val="20"/>
          <w:lang w:val="hr-HR"/>
        </w:rPr>
        <w:t xml:space="preserve">Izvor: DZS, </w:t>
      </w:r>
      <w:r w:rsidR="00647EB8" w:rsidRPr="004259D0">
        <w:rPr>
          <w:i/>
          <w:sz w:val="20"/>
          <w:lang w:val="hr-HR"/>
        </w:rPr>
        <w:t>MFIN</w:t>
      </w:r>
    </w:p>
    <w:p w14:paraId="163E7201" w14:textId="77777777" w:rsidR="00F60D7F" w:rsidRPr="004259D0" w:rsidRDefault="00F60D7F" w:rsidP="00CC14CA">
      <w:pPr>
        <w:spacing w:after="0" w:line="240" w:lineRule="auto"/>
        <w:jc w:val="both"/>
        <w:rPr>
          <w:i/>
          <w:lang w:val="hr-HR"/>
        </w:rPr>
      </w:pPr>
    </w:p>
    <w:p w14:paraId="74A85B37" w14:textId="77777777" w:rsidR="008103FE" w:rsidRPr="004259D0" w:rsidRDefault="00AB12FE" w:rsidP="00AB12FE">
      <w:pPr>
        <w:spacing w:after="0"/>
        <w:jc w:val="both"/>
        <w:rPr>
          <w:i/>
          <w:lang w:val="hr-HR"/>
        </w:rPr>
      </w:pPr>
      <w:bookmarkStart w:id="66" w:name="_Toc6418661"/>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w:instrText>
      </w:r>
      <w:r w:rsidR="00051649" w:rsidRPr="004259D0">
        <w:rPr>
          <w:i/>
          <w:lang w:val="hr-HR"/>
        </w:rPr>
        <w:fldChar w:fldCharType="separate"/>
      </w:r>
      <w:r w:rsidR="00572AFD">
        <w:rPr>
          <w:i/>
          <w:noProof/>
          <w:lang w:val="hr-HR"/>
        </w:rPr>
        <w:t>3</w:t>
      </w:r>
      <w:r w:rsidR="00051649" w:rsidRPr="004259D0">
        <w:rPr>
          <w:i/>
          <w:lang w:val="hr-HR"/>
        </w:rPr>
        <w:fldChar w:fldCharType="end"/>
      </w:r>
      <w:r w:rsidR="008D0CF0" w:rsidRPr="004259D0">
        <w:rPr>
          <w:i/>
          <w:lang w:val="hr-HR"/>
        </w:rPr>
        <w:t>.</w:t>
      </w:r>
      <w:r w:rsidR="008103FE" w:rsidRPr="004259D0">
        <w:rPr>
          <w:i/>
          <w:lang w:val="hr-HR"/>
        </w:rPr>
        <w:t xml:space="preserve"> Dug opće države</w:t>
      </w:r>
      <w:bookmarkEnd w:id="66"/>
    </w:p>
    <w:p w14:paraId="79C0386D" w14:textId="42A6BFAE" w:rsidR="00E54C96" w:rsidRPr="004259D0" w:rsidRDefault="003E2912" w:rsidP="00CC14CA">
      <w:pPr>
        <w:spacing w:after="0" w:line="240" w:lineRule="auto"/>
        <w:jc w:val="both"/>
        <w:rPr>
          <w:i/>
          <w:lang w:val="hr-HR"/>
        </w:rPr>
      </w:pPr>
      <w:r w:rsidRPr="004259D0">
        <w:rPr>
          <w:noProof/>
          <w:lang w:val="hr-HR" w:eastAsia="hr-HR"/>
        </w:rPr>
        <w:drawing>
          <wp:inline distT="0" distB="0" distL="0" distR="0" wp14:anchorId="3ECC3F77" wp14:editId="12354B4E">
            <wp:extent cx="5759450" cy="3290237"/>
            <wp:effectExtent l="0" t="0" r="0" b="5715"/>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9450" cy="3290237"/>
                    </a:xfrm>
                    <a:prstGeom prst="rect">
                      <a:avLst/>
                    </a:prstGeom>
                    <a:noFill/>
                    <a:ln>
                      <a:noFill/>
                    </a:ln>
                  </pic:spPr>
                </pic:pic>
              </a:graphicData>
            </a:graphic>
          </wp:inline>
        </w:drawing>
      </w:r>
    </w:p>
    <w:p w14:paraId="15B305E2" w14:textId="77777777" w:rsidR="008103FE" w:rsidRPr="004259D0" w:rsidRDefault="008103FE" w:rsidP="00595346">
      <w:pPr>
        <w:jc w:val="both"/>
        <w:rPr>
          <w:i/>
          <w:sz w:val="20"/>
          <w:lang w:val="hr-HR"/>
        </w:rPr>
      </w:pPr>
      <w:r w:rsidRPr="004259D0">
        <w:rPr>
          <w:i/>
          <w:sz w:val="20"/>
          <w:lang w:val="hr-HR"/>
        </w:rPr>
        <w:t xml:space="preserve">Izvor: </w:t>
      </w:r>
      <w:r w:rsidR="0008501E" w:rsidRPr="004259D0">
        <w:rPr>
          <w:i/>
          <w:sz w:val="20"/>
          <w:lang w:val="hr-HR"/>
        </w:rPr>
        <w:t xml:space="preserve">HNB, </w:t>
      </w:r>
      <w:r w:rsidRPr="004259D0">
        <w:rPr>
          <w:i/>
          <w:sz w:val="20"/>
          <w:lang w:val="hr-HR"/>
        </w:rPr>
        <w:t xml:space="preserve">DZS, </w:t>
      </w:r>
      <w:r w:rsidR="00647EB8" w:rsidRPr="004259D0">
        <w:rPr>
          <w:i/>
          <w:sz w:val="20"/>
          <w:lang w:val="hr-HR"/>
        </w:rPr>
        <w:t>MFIN</w:t>
      </w:r>
    </w:p>
    <w:p w14:paraId="0FF56102" w14:textId="77777777" w:rsidR="00E52E0B" w:rsidRPr="004259D0" w:rsidRDefault="00E52E0B" w:rsidP="008103FE">
      <w:pPr>
        <w:spacing w:after="240"/>
        <w:jc w:val="both"/>
        <w:rPr>
          <w:i/>
          <w:lang w:val="hr-HR"/>
        </w:rPr>
      </w:pPr>
      <w:r w:rsidRPr="004259D0">
        <w:rPr>
          <w:i/>
          <w:lang w:val="hr-HR"/>
        </w:rPr>
        <w:br w:type="page"/>
      </w:r>
    </w:p>
    <w:p w14:paraId="53973C27" w14:textId="77777777" w:rsidR="008103FE" w:rsidRPr="004259D0" w:rsidRDefault="00AB12FE" w:rsidP="00AB12FE">
      <w:pPr>
        <w:spacing w:after="0" w:line="240" w:lineRule="auto"/>
        <w:jc w:val="both"/>
        <w:rPr>
          <w:i/>
          <w:lang w:val="hr-HR"/>
        </w:rPr>
      </w:pPr>
      <w:bookmarkStart w:id="67" w:name="_Toc6418662"/>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w:instrText>
      </w:r>
      <w:r w:rsidR="00051649" w:rsidRPr="004259D0">
        <w:rPr>
          <w:i/>
          <w:lang w:val="hr-HR"/>
        </w:rPr>
        <w:fldChar w:fldCharType="separate"/>
      </w:r>
      <w:r w:rsidR="00572AFD">
        <w:rPr>
          <w:i/>
          <w:noProof/>
          <w:lang w:val="hr-HR"/>
        </w:rPr>
        <w:t>4</w:t>
      </w:r>
      <w:r w:rsidR="00051649" w:rsidRPr="004259D0">
        <w:rPr>
          <w:i/>
          <w:lang w:val="hr-HR"/>
        </w:rPr>
        <w:fldChar w:fldCharType="end"/>
      </w:r>
      <w:r w:rsidR="008D0CF0" w:rsidRPr="004259D0">
        <w:rPr>
          <w:i/>
          <w:lang w:val="hr-HR"/>
        </w:rPr>
        <w:t>.</w:t>
      </w:r>
      <w:r w:rsidR="008103FE" w:rsidRPr="004259D0">
        <w:rPr>
          <w:i/>
          <w:lang w:val="hr-HR"/>
        </w:rPr>
        <w:t xml:space="preserve"> Ciklička kretanja</w:t>
      </w:r>
      <w:bookmarkEnd w:id="67"/>
    </w:p>
    <w:p w14:paraId="6BEB875F" w14:textId="1CF63674" w:rsidR="007674B4" w:rsidRPr="004259D0" w:rsidRDefault="003E2912" w:rsidP="00AB12FE">
      <w:pPr>
        <w:spacing w:after="0" w:line="240" w:lineRule="auto"/>
        <w:jc w:val="both"/>
        <w:rPr>
          <w:i/>
          <w:lang w:val="hr-HR"/>
        </w:rPr>
      </w:pPr>
      <w:r w:rsidRPr="004259D0">
        <w:rPr>
          <w:noProof/>
          <w:lang w:val="hr-HR" w:eastAsia="hr-HR"/>
        </w:rPr>
        <w:drawing>
          <wp:inline distT="0" distB="0" distL="0" distR="0" wp14:anchorId="4F1E8C3A" wp14:editId="2D984FB7">
            <wp:extent cx="5759450" cy="2664479"/>
            <wp:effectExtent l="0" t="0" r="0" b="2540"/>
            <wp:docPr id="48"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9450" cy="2664479"/>
                    </a:xfrm>
                    <a:prstGeom prst="rect">
                      <a:avLst/>
                    </a:prstGeom>
                    <a:noFill/>
                    <a:ln>
                      <a:noFill/>
                    </a:ln>
                  </pic:spPr>
                </pic:pic>
              </a:graphicData>
            </a:graphic>
          </wp:inline>
        </w:drawing>
      </w:r>
    </w:p>
    <w:p w14:paraId="45B5343C" w14:textId="77777777" w:rsidR="00952747" w:rsidRPr="004259D0" w:rsidRDefault="00952747" w:rsidP="00952747">
      <w:pPr>
        <w:spacing w:after="0"/>
        <w:jc w:val="both"/>
        <w:rPr>
          <w:i/>
          <w:sz w:val="20"/>
          <w:lang w:val="hr-HR"/>
        </w:rPr>
      </w:pPr>
      <w:r w:rsidRPr="004259D0">
        <w:rPr>
          <w:i/>
          <w:sz w:val="20"/>
          <w:vertAlign w:val="superscript"/>
          <w:lang w:val="hr-HR"/>
        </w:rPr>
        <w:t>1</w:t>
      </w:r>
      <w:r w:rsidRPr="004259D0">
        <w:rPr>
          <w:i/>
          <w:sz w:val="20"/>
          <w:lang w:val="hr-HR"/>
        </w:rPr>
        <w:t xml:space="preserve"> Pozitivan predznak označava jednokratnu mjeru koja smanjuje </w:t>
      </w:r>
      <w:r w:rsidR="00BB5865" w:rsidRPr="004259D0">
        <w:rPr>
          <w:i/>
          <w:sz w:val="20"/>
          <w:lang w:val="hr-HR"/>
        </w:rPr>
        <w:t>manjak</w:t>
      </w:r>
      <w:r w:rsidRPr="004259D0">
        <w:rPr>
          <w:i/>
          <w:sz w:val="20"/>
          <w:lang w:val="hr-HR"/>
        </w:rPr>
        <w:t xml:space="preserve">. </w:t>
      </w:r>
    </w:p>
    <w:p w14:paraId="53A1AADA" w14:textId="77777777" w:rsidR="008103FE" w:rsidRPr="004259D0" w:rsidRDefault="008103FE" w:rsidP="00595346">
      <w:pPr>
        <w:jc w:val="both"/>
        <w:rPr>
          <w:i/>
          <w:sz w:val="20"/>
          <w:lang w:val="hr-HR"/>
        </w:rPr>
      </w:pPr>
      <w:r w:rsidRPr="004259D0">
        <w:rPr>
          <w:i/>
          <w:sz w:val="20"/>
          <w:lang w:val="hr-HR"/>
        </w:rPr>
        <w:t xml:space="preserve">Izvor: DZS, </w:t>
      </w:r>
      <w:r w:rsidR="00647EB8" w:rsidRPr="004259D0">
        <w:rPr>
          <w:i/>
          <w:sz w:val="20"/>
          <w:lang w:val="hr-HR"/>
        </w:rPr>
        <w:t>MFIN</w:t>
      </w:r>
    </w:p>
    <w:p w14:paraId="7C244ADA" w14:textId="77777777" w:rsidR="00736FF8" w:rsidRPr="004259D0" w:rsidRDefault="00736FF8" w:rsidP="00FD67D3">
      <w:pPr>
        <w:spacing w:after="240" w:line="240" w:lineRule="auto"/>
        <w:jc w:val="both"/>
        <w:rPr>
          <w:i/>
          <w:lang w:val="hr-HR"/>
        </w:rPr>
      </w:pPr>
    </w:p>
    <w:p w14:paraId="17588F59" w14:textId="77777777" w:rsidR="008103FE" w:rsidRPr="004259D0" w:rsidRDefault="00AB12FE" w:rsidP="00AB12FE">
      <w:pPr>
        <w:spacing w:after="0" w:line="240" w:lineRule="auto"/>
        <w:jc w:val="both"/>
        <w:rPr>
          <w:i/>
          <w:lang w:val="hr-HR"/>
        </w:rPr>
      </w:pPr>
      <w:bookmarkStart w:id="68" w:name="_Toc6418663"/>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w:instrText>
      </w:r>
      <w:r w:rsidR="00051649" w:rsidRPr="004259D0">
        <w:rPr>
          <w:i/>
          <w:lang w:val="hr-HR"/>
        </w:rPr>
        <w:fldChar w:fldCharType="separate"/>
      </w:r>
      <w:r w:rsidR="00572AFD">
        <w:rPr>
          <w:i/>
          <w:noProof/>
          <w:lang w:val="hr-HR"/>
        </w:rPr>
        <w:t>5</w:t>
      </w:r>
      <w:r w:rsidR="00051649" w:rsidRPr="004259D0">
        <w:rPr>
          <w:i/>
          <w:lang w:val="hr-HR"/>
        </w:rPr>
        <w:fldChar w:fldCharType="end"/>
      </w:r>
      <w:r w:rsidR="00FD67D3" w:rsidRPr="004259D0">
        <w:rPr>
          <w:i/>
          <w:lang w:val="hr-HR"/>
        </w:rPr>
        <w:t>.</w:t>
      </w:r>
      <w:r w:rsidR="008103FE" w:rsidRPr="004259D0">
        <w:rPr>
          <w:i/>
          <w:lang w:val="hr-HR"/>
        </w:rPr>
        <w:t xml:space="preserve"> Od</w:t>
      </w:r>
      <w:r w:rsidR="006978DB" w:rsidRPr="004259D0">
        <w:rPr>
          <w:i/>
          <w:lang w:val="hr-HR"/>
        </w:rPr>
        <w:t>stupanje od prethodnog programa</w:t>
      </w:r>
      <w:bookmarkEnd w:id="68"/>
    </w:p>
    <w:p w14:paraId="3B801071" w14:textId="7EE82783" w:rsidR="00F60D7F" w:rsidRPr="004259D0" w:rsidRDefault="003E2912" w:rsidP="00CC14CA">
      <w:pPr>
        <w:spacing w:after="0" w:line="240" w:lineRule="auto"/>
        <w:jc w:val="both"/>
        <w:rPr>
          <w:i/>
          <w:lang w:val="hr-HR"/>
        </w:rPr>
      </w:pPr>
      <w:r w:rsidRPr="004259D0">
        <w:rPr>
          <w:noProof/>
          <w:lang w:val="hr-HR" w:eastAsia="hr-HR"/>
        </w:rPr>
        <w:drawing>
          <wp:inline distT="0" distB="0" distL="0" distR="0" wp14:anchorId="1AAFE40D" wp14:editId="0543648A">
            <wp:extent cx="5759450" cy="2148030"/>
            <wp:effectExtent l="0" t="0" r="0" b="5080"/>
            <wp:docPr id="49"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2148030"/>
                    </a:xfrm>
                    <a:prstGeom prst="rect">
                      <a:avLst/>
                    </a:prstGeom>
                    <a:noFill/>
                    <a:ln>
                      <a:noFill/>
                    </a:ln>
                  </pic:spPr>
                </pic:pic>
              </a:graphicData>
            </a:graphic>
          </wp:inline>
        </w:drawing>
      </w:r>
    </w:p>
    <w:p w14:paraId="3B0380FD" w14:textId="77777777" w:rsidR="008103FE" w:rsidRPr="004259D0" w:rsidRDefault="008103FE" w:rsidP="00595346">
      <w:pPr>
        <w:jc w:val="both"/>
        <w:rPr>
          <w:i/>
          <w:sz w:val="20"/>
          <w:lang w:val="hr-HR"/>
        </w:rPr>
      </w:pPr>
      <w:r w:rsidRPr="004259D0">
        <w:rPr>
          <w:i/>
          <w:sz w:val="20"/>
          <w:lang w:val="hr-HR"/>
        </w:rPr>
        <w:t xml:space="preserve">Izvor: DZS, </w:t>
      </w:r>
      <w:r w:rsidR="00647EB8" w:rsidRPr="004259D0">
        <w:rPr>
          <w:i/>
          <w:sz w:val="20"/>
          <w:lang w:val="hr-HR"/>
        </w:rPr>
        <w:t>MFIN</w:t>
      </w:r>
    </w:p>
    <w:p w14:paraId="10783DC2" w14:textId="77777777" w:rsidR="003D4035" w:rsidRPr="004259D0" w:rsidRDefault="003D4035" w:rsidP="008103FE">
      <w:pPr>
        <w:spacing w:after="240"/>
        <w:jc w:val="both"/>
        <w:rPr>
          <w:i/>
          <w:lang w:val="hr-HR"/>
        </w:rPr>
      </w:pPr>
      <w:r w:rsidRPr="004259D0">
        <w:rPr>
          <w:i/>
          <w:lang w:val="hr-HR"/>
        </w:rPr>
        <w:br w:type="page"/>
      </w:r>
    </w:p>
    <w:p w14:paraId="6FE5F8C4" w14:textId="77777777" w:rsidR="007B7985" w:rsidRPr="004259D0" w:rsidRDefault="00AB12FE" w:rsidP="00AB12FE">
      <w:pPr>
        <w:spacing w:after="0" w:line="240" w:lineRule="auto"/>
        <w:jc w:val="both"/>
        <w:rPr>
          <w:i/>
          <w:lang w:val="hr-HR"/>
        </w:rPr>
      </w:pPr>
      <w:bookmarkStart w:id="69" w:name="_Toc6418664"/>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w:instrText>
      </w:r>
      <w:r w:rsidR="00051649" w:rsidRPr="004259D0">
        <w:rPr>
          <w:i/>
          <w:lang w:val="hr-HR"/>
        </w:rPr>
        <w:fldChar w:fldCharType="separate"/>
      </w:r>
      <w:r w:rsidR="00572AFD">
        <w:rPr>
          <w:i/>
          <w:noProof/>
          <w:lang w:val="hr-HR"/>
        </w:rPr>
        <w:t>6</w:t>
      </w:r>
      <w:r w:rsidR="00051649" w:rsidRPr="004259D0">
        <w:rPr>
          <w:i/>
          <w:lang w:val="hr-HR"/>
        </w:rPr>
        <w:fldChar w:fldCharType="end"/>
      </w:r>
      <w:r w:rsidR="00FD67D3" w:rsidRPr="004259D0">
        <w:rPr>
          <w:i/>
          <w:lang w:val="hr-HR"/>
        </w:rPr>
        <w:t>.</w:t>
      </w:r>
      <w:r w:rsidR="007B7985" w:rsidRPr="004259D0">
        <w:rPr>
          <w:i/>
          <w:lang w:val="hr-HR"/>
        </w:rPr>
        <w:t xml:space="preserve"> Dugoročna održivost javnih financija</w:t>
      </w:r>
      <w:bookmarkEnd w:id="69"/>
    </w:p>
    <w:p w14:paraId="6485675E" w14:textId="7733737E" w:rsidR="00F60D7F" w:rsidRPr="004259D0" w:rsidRDefault="00E671D0" w:rsidP="00F60D7F">
      <w:pPr>
        <w:spacing w:after="0"/>
        <w:jc w:val="both"/>
        <w:rPr>
          <w:i/>
          <w:sz w:val="20"/>
          <w:lang w:val="hr-HR"/>
        </w:rPr>
      </w:pPr>
      <w:r w:rsidRPr="004259D0">
        <w:rPr>
          <w:noProof/>
          <w:lang w:val="hr-HR" w:eastAsia="hr-HR"/>
        </w:rPr>
        <w:drawing>
          <wp:inline distT="0" distB="0" distL="0" distR="0" wp14:anchorId="789E10CA" wp14:editId="31B15F4F">
            <wp:extent cx="5759450" cy="3311426"/>
            <wp:effectExtent l="0" t="0" r="0" b="381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9450" cy="3311426"/>
                    </a:xfrm>
                    <a:prstGeom prst="rect">
                      <a:avLst/>
                    </a:prstGeom>
                    <a:noFill/>
                    <a:ln>
                      <a:noFill/>
                    </a:ln>
                  </pic:spPr>
                </pic:pic>
              </a:graphicData>
            </a:graphic>
          </wp:inline>
        </w:drawing>
      </w:r>
    </w:p>
    <w:p w14:paraId="6CDB7E34" w14:textId="77777777" w:rsidR="007B7985" w:rsidRPr="004259D0" w:rsidRDefault="007B7985" w:rsidP="007B7985">
      <w:pPr>
        <w:jc w:val="both"/>
        <w:rPr>
          <w:i/>
          <w:sz w:val="20"/>
          <w:lang w:val="hr-HR"/>
        </w:rPr>
      </w:pPr>
      <w:r w:rsidRPr="004259D0">
        <w:rPr>
          <w:i/>
          <w:sz w:val="20"/>
          <w:lang w:val="hr-HR"/>
        </w:rPr>
        <w:t>Izvor: Ministarstvo rada i mirovinskog sustava, HZZO</w:t>
      </w:r>
      <w:r w:rsidR="00FD67D3" w:rsidRPr="004259D0">
        <w:rPr>
          <w:i/>
          <w:sz w:val="20"/>
          <w:lang w:val="hr-HR"/>
        </w:rPr>
        <w:t>, AWG</w:t>
      </w:r>
    </w:p>
    <w:p w14:paraId="3B8570CD" w14:textId="77777777" w:rsidR="00E3006D" w:rsidRPr="004259D0" w:rsidRDefault="00E3006D" w:rsidP="007B7985">
      <w:pPr>
        <w:jc w:val="both"/>
        <w:rPr>
          <w:i/>
          <w:sz w:val="20"/>
          <w:lang w:val="hr-HR"/>
        </w:rPr>
      </w:pPr>
    </w:p>
    <w:p w14:paraId="09452F22" w14:textId="77777777" w:rsidR="008103FE" w:rsidRPr="004259D0" w:rsidRDefault="00AB12FE" w:rsidP="00AB12FE">
      <w:pPr>
        <w:spacing w:after="0" w:line="240" w:lineRule="auto"/>
        <w:jc w:val="both"/>
        <w:rPr>
          <w:i/>
          <w:lang w:val="hr-HR"/>
        </w:rPr>
      </w:pPr>
      <w:bookmarkStart w:id="70" w:name="_Toc6418665"/>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\r 7 </w:instrText>
      </w:r>
      <w:r w:rsidR="00051649" w:rsidRPr="004259D0">
        <w:rPr>
          <w:i/>
          <w:lang w:val="hr-HR"/>
        </w:rPr>
        <w:fldChar w:fldCharType="separate"/>
      </w:r>
      <w:r w:rsidR="00572AFD">
        <w:rPr>
          <w:i/>
          <w:noProof/>
          <w:lang w:val="hr-HR"/>
        </w:rPr>
        <w:t>7</w:t>
      </w:r>
      <w:r w:rsidR="00051649" w:rsidRPr="004259D0">
        <w:rPr>
          <w:i/>
          <w:lang w:val="hr-HR"/>
        </w:rPr>
        <w:fldChar w:fldCharType="end"/>
      </w:r>
      <w:r w:rsidR="00051649" w:rsidRPr="004259D0">
        <w:rPr>
          <w:i/>
          <w:lang w:val="hr-HR"/>
        </w:rPr>
        <w:t>a</w:t>
      </w:r>
      <w:r w:rsidR="00FD67D3" w:rsidRPr="004259D0">
        <w:rPr>
          <w:i/>
          <w:lang w:val="hr-HR"/>
        </w:rPr>
        <w:t>.</w:t>
      </w:r>
      <w:r w:rsidR="008103FE" w:rsidRPr="004259D0">
        <w:rPr>
          <w:i/>
          <w:lang w:val="hr-HR"/>
        </w:rPr>
        <w:t xml:space="preserve"> Potencijalne obveze</w:t>
      </w:r>
      <w:bookmarkEnd w:id="70"/>
    </w:p>
    <w:p w14:paraId="3E2DE9D8" w14:textId="443706E2" w:rsidR="00F60D7F" w:rsidRPr="004259D0" w:rsidRDefault="003E2912" w:rsidP="00F60D7F">
      <w:pPr>
        <w:spacing w:after="0"/>
        <w:jc w:val="both"/>
        <w:rPr>
          <w:i/>
          <w:sz w:val="20"/>
          <w:lang w:val="hr-HR"/>
        </w:rPr>
      </w:pPr>
      <w:r w:rsidRPr="004259D0">
        <w:rPr>
          <w:noProof/>
          <w:lang w:val="hr-HR" w:eastAsia="hr-HR"/>
        </w:rPr>
        <w:drawing>
          <wp:inline distT="0" distB="0" distL="0" distR="0" wp14:anchorId="3313426D" wp14:editId="5C83B802">
            <wp:extent cx="4839335" cy="1017905"/>
            <wp:effectExtent l="0" t="0" r="0" b="0"/>
            <wp:docPr id="50"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39335" cy="1017905"/>
                    </a:xfrm>
                    <a:prstGeom prst="rect">
                      <a:avLst/>
                    </a:prstGeom>
                    <a:noFill/>
                    <a:ln>
                      <a:noFill/>
                    </a:ln>
                  </pic:spPr>
                </pic:pic>
              </a:graphicData>
            </a:graphic>
          </wp:inline>
        </w:drawing>
      </w:r>
    </w:p>
    <w:p w14:paraId="0270C9AE" w14:textId="77777777" w:rsidR="008103FE" w:rsidRPr="004259D0" w:rsidRDefault="00BB5865" w:rsidP="00595346">
      <w:pPr>
        <w:jc w:val="both"/>
        <w:rPr>
          <w:i/>
          <w:sz w:val="20"/>
          <w:lang w:val="hr-HR"/>
        </w:rPr>
      </w:pPr>
      <w:r w:rsidRPr="004259D0">
        <w:rPr>
          <w:i/>
          <w:sz w:val="20"/>
          <w:lang w:val="hr-HR"/>
        </w:rPr>
        <w:t xml:space="preserve">Izvor: </w:t>
      </w:r>
      <w:r w:rsidR="00235518" w:rsidRPr="004259D0">
        <w:rPr>
          <w:i/>
          <w:sz w:val="20"/>
          <w:lang w:val="hr-HR"/>
        </w:rPr>
        <w:t>DZS</w:t>
      </w:r>
      <w:r w:rsidRPr="004259D0">
        <w:rPr>
          <w:i/>
          <w:sz w:val="20"/>
          <w:lang w:val="hr-HR"/>
        </w:rPr>
        <w:t xml:space="preserve">, </w:t>
      </w:r>
      <w:r w:rsidR="00647EB8" w:rsidRPr="004259D0">
        <w:rPr>
          <w:i/>
          <w:sz w:val="20"/>
          <w:lang w:val="hr-HR"/>
        </w:rPr>
        <w:t>MFIN</w:t>
      </w:r>
    </w:p>
    <w:p w14:paraId="3BF5D341" w14:textId="77777777" w:rsidR="00E30DE6" w:rsidRPr="004259D0" w:rsidRDefault="00E30DE6" w:rsidP="008103FE">
      <w:pPr>
        <w:spacing w:after="240"/>
        <w:jc w:val="both"/>
        <w:rPr>
          <w:i/>
          <w:lang w:val="hr-HR"/>
        </w:rPr>
      </w:pPr>
    </w:p>
    <w:p w14:paraId="60B6438C" w14:textId="77777777" w:rsidR="00245E50" w:rsidRPr="004259D0" w:rsidRDefault="00AB12FE" w:rsidP="00AB12FE">
      <w:pPr>
        <w:spacing w:after="0" w:line="240" w:lineRule="auto"/>
        <w:jc w:val="both"/>
        <w:rPr>
          <w:i/>
          <w:lang w:val="hr-HR"/>
        </w:rPr>
      </w:pPr>
      <w:bookmarkStart w:id="71" w:name="_Toc6418666"/>
      <w:r w:rsidRPr="004259D0">
        <w:rPr>
          <w:i/>
          <w:lang w:val="hr-HR"/>
        </w:rPr>
        <w:t xml:space="preserve">Prilog </w:t>
      </w:r>
      <w:r w:rsidR="00051649" w:rsidRPr="004259D0">
        <w:rPr>
          <w:i/>
          <w:lang w:val="hr-HR"/>
        </w:rPr>
        <w:fldChar w:fldCharType="begin"/>
      </w:r>
      <w:r w:rsidR="00051649" w:rsidRPr="004259D0">
        <w:rPr>
          <w:i/>
          <w:lang w:val="hr-HR"/>
        </w:rPr>
        <w:instrText xml:space="preserve"> SEQ Prilog \* ARABIC </w:instrText>
      </w:r>
      <w:r w:rsidR="00051649" w:rsidRPr="004259D0">
        <w:rPr>
          <w:i/>
          <w:lang w:val="hr-HR"/>
        </w:rPr>
        <w:fldChar w:fldCharType="separate"/>
      </w:r>
      <w:r w:rsidR="00572AFD">
        <w:rPr>
          <w:i/>
          <w:noProof/>
          <w:lang w:val="hr-HR"/>
        </w:rPr>
        <w:t>8</w:t>
      </w:r>
      <w:r w:rsidR="00051649" w:rsidRPr="004259D0">
        <w:rPr>
          <w:i/>
          <w:lang w:val="hr-HR"/>
        </w:rPr>
        <w:fldChar w:fldCharType="end"/>
      </w:r>
      <w:r w:rsidR="00FD67D3" w:rsidRPr="004259D0">
        <w:rPr>
          <w:i/>
          <w:lang w:val="hr-HR"/>
        </w:rPr>
        <w:t>.</w:t>
      </w:r>
      <w:r w:rsidR="00245E50" w:rsidRPr="004259D0">
        <w:rPr>
          <w:i/>
          <w:lang w:val="hr-HR"/>
        </w:rPr>
        <w:t xml:space="preserve"> Osnovne pretpostavke</w:t>
      </w:r>
      <w:bookmarkEnd w:id="71"/>
    </w:p>
    <w:p w14:paraId="4B4A4805" w14:textId="473C64D2" w:rsidR="007674B4" w:rsidRPr="004259D0" w:rsidRDefault="00814285" w:rsidP="00AB12FE">
      <w:pPr>
        <w:spacing w:after="0" w:line="240" w:lineRule="auto"/>
        <w:jc w:val="both"/>
        <w:rPr>
          <w:i/>
          <w:lang w:val="hr-HR"/>
        </w:rPr>
      </w:pPr>
      <w:r w:rsidRPr="004259D0">
        <w:rPr>
          <w:noProof/>
          <w:lang w:val="hr-HR" w:eastAsia="hr-HR"/>
        </w:rPr>
        <w:drawing>
          <wp:inline distT="0" distB="0" distL="0" distR="0" wp14:anchorId="5CF5C997" wp14:editId="306C566D">
            <wp:extent cx="5759450" cy="2210159"/>
            <wp:effectExtent l="0" t="0" r="0" b="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59450" cy="2210159"/>
                    </a:xfrm>
                    <a:prstGeom prst="rect">
                      <a:avLst/>
                    </a:prstGeom>
                    <a:noFill/>
                    <a:ln>
                      <a:noFill/>
                    </a:ln>
                  </pic:spPr>
                </pic:pic>
              </a:graphicData>
            </a:graphic>
          </wp:inline>
        </w:drawing>
      </w:r>
    </w:p>
    <w:p w14:paraId="7BB9D2D0" w14:textId="77777777" w:rsidR="00C52C2F" w:rsidRPr="004259D0" w:rsidRDefault="00C52C2F" w:rsidP="00AB12FE">
      <w:pPr>
        <w:spacing w:after="0" w:line="240" w:lineRule="auto"/>
        <w:jc w:val="both"/>
        <w:rPr>
          <w:i/>
          <w:lang w:val="hr-HR"/>
        </w:rPr>
      </w:pPr>
      <w:r w:rsidRPr="004259D0">
        <w:rPr>
          <w:i/>
          <w:vertAlign w:val="superscript"/>
          <w:lang w:val="hr-HR"/>
        </w:rPr>
        <w:t>1</w:t>
      </w:r>
      <w:r w:rsidRPr="004259D0">
        <w:rPr>
          <w:i/>
          <w:lang w:val="hr-HR"/>
        </w:rPr>
        <w:t xml:space="preserve"> </w:t>
      </w:r>
      <w:r w:rsidRPr="004259D0">
        <w:rPr>
          <w:i/>
          <w:sz w:val="20"/>
          <w:lang w:val="hr-HR"/>
        </w:rPr>
        <w:t>Odnosi se na robe.</w:t>
      </w:r>
    </w:p>
    <w:p w14:paraId="22D95E17" w14:textId="77777777" w:rsidR="00433F38" w:rsidRPr="004259D0" w:rsidRDefault="00C52C2F" w:rsidP="009E69BA">
      <w:pPr>
        <w:spacing w:after="0"/>
        <w:jc w:val="both"/>
        <w:rPr>
          <w:i/>
          <w:sz w:val="20"/>
          <w:lang w:val="hr-HR"/>
        </w:rPr>
      </w:pPr>
      <w:r w:rsidRPr="004259D0">
        <w:rPr>
          <w:i/>
          <w:sz w:val="20"/>
          <w:vertAlign w:val="superscript"/>
          <w:lang w:val="hr-HR"/>
        </w:rPr>
        <w:t xml:space="preserve">2 </w:t>
      </w:r>
      <w:r w:rsidR="00E773C9" w:rsidRPr="004259D0">
        <w:rPr>
          <w:i/>
          <w:sz w:val="20"/>
          <w:lang w:val="hr-HR"/>
        </w:rPr>
        <w:t>Brent</w:t>
      </w:r>
      <w:r w:rsidRPr="004259D0">
        <w:rPr>
          <w:i/>
          <w:sz w:val="20"/>
          <w:lang w:val="hr-HR"/>
        </w:rPr>
        <w:t>.</w:t>
      </w:r>
    </w:p>
    <w:p w14:paraId="575A41E3" w14:textId="0476B772" w:rsidR="00E644EF" w:rsidRPr="004259D0" w:rsidRDefault="00BB5865" w:rsidP="00E30DE6">
      <w:pPr>
        <w:jc w:val="both"/>
        <w:rPr>
          <w:i/>
          <w:sz w:val="20"/>
          <w:lang w:val="hr-HR"/>
        </w:rPr>
      </w:pPr>
      <w:r w:rsidRPr="004259D0">
        <w:rPr>
          <w:i/>
          <w:sz w:val="20"/>
          <w:lang w:val="hr-HR"/>
        </w:rPr>
        <w:t xml:space="preserve">Izvor: </w:t>
      </w:r>
      <w:r w:rsidR="00814285" w:rsidRPr="004259D0">
        <w:rPr>
          <w:i/>
          <w:sz w:val="20"/>
          <w:lang w:val="hr-HR"/>
        </w:rPr>
        <w:t>Eurostat, EK, ESB, MMF, HNB, MFIN</w:t>
      </w:r>
      <w:r w:rsidR="00E644EF" w:rsidRPr="004259D0">
        <w:rPr>
          <w:i/>
          <w:sz w:val="20"/>
          <w:lang w:val="hr-HR"/>
        </w:rPr>
        <w:br w:type="page"/>
      </w:r>
    </w:p>
    <w:p w14:paraId="4948F32B" w14:textId="6729BD7B" w:rsidR="00C16498" w:rsidRPr="004259D0" w:rsidRDefault="00C16498" w:rsidP="00C16498">
      <w:pPr>
        <w:spacing w:after="0" w:line="240" w:lineRule="auto"/>
        <w:jc w:val="both"/>
        <w:rPr>
          <w:i/>
          <w:lang w:val="hr-HR"/>
        </w:rPr>
      </w:pPr>
      <w:bookmarkStart w:id="72" w:name="_Toc6418667"/>
      <w:r w:rsidRPr="004259D0">
        <w:rPr>
          <w:i/>
          <w:lang w:val="hr-HR"/>
        </w:rPr>
        <w:t xml:space="preserve">Prilog </w:t>
      </w:r>
      <w:r w:rsidRPr="004259D0">
        <w:rPr>
          <w:i/>
          <w:lang w:val="hr-HR"/>
        </w:rPr>
        <w:fldChar w:fldCharType="begin"/>
      </w:r>
      <w:r w:rsidRPr="004259D0">
        <w:rPr>
          <w:i/>
          <w:lang w:val="hr-HR"/>
        </w:rPr>
        <w:instrText xml:space="preserve"> SEQ Prilog \* ARABIC </w:instrText>
      </w:r>
      <w:r w:rsidRPr="004259D0">
        <w:rPr>
          <w:i/>
          <w:lang w:val="hr-HR"/>
        </w:rPr>
        <w:fldChar w:fldCharType="separate"/>
      </w:r>
      <w:r w:rsidR="00572AFD">
        <w:rPr>
          <w:i/>
          <w:noProof/>
          <w:lang w:val="hr-HR"/>
        </w:rPr>
        <w:t>9</w:t>
      </w:r>
      <w:r w:rsidRPr="004259D0">
        <w:rPr>
          <w:i/>
          <w:lang w:val="hr-HR"/>
        </w:rPr>
        <w:fldChar w:fldCharType="end"/>
      </w:r>
      <w:r w:rsidRPr="004259D0">
        <w:rPr>
          <w:i/>
          <w:lang w:val="hr-HR"/>
        </w:rPr>
        <w:t>. IZVJEŠTAJ O PRIMJENI FISKALNIH PRAVILA</w:t>
      </w:r>
      <w:bookmarkEnd w:id="72"/>
    </w:p>
    <w:p w14:paraId="3E3A1CDC" w14:textId="4A634A4B" w:rsidR="00C16498" w:rsidRPr="004259D0" w:rsidRDefault="00C16498" w:rsidP="00C16498">
      <w:pPr>
        <w:spacing w:before="240"/>
        <w:jc w:val="both"/>
        <w:rPr>
          <w:lang w:val="hr-HR"/>
        </w:rPr>
      </w:pPr>
      <w:r w:rsidRPr="004259D0">
        <w:rPr>
          <w:lang w:val="hr-HR"/>
        </w:rPr>
        <w:t>Novim Zakonom o fiskalnoj odgovornosti</w:t>
      </w:r>
      <w:r w:rsidR="00A054A6" w:rsidRPr="004259D0">
        <w:rPr>
          <w:rStyle w:val="FootnoteReference"/>
          <w:lang w:val="hr-HR"/>
        </w:rPr>
        <w:footnoteReference w:id="57"/>
      </w:r>
      <w:r w:rsidRPr="004259D0">
        <w:rPr>
          <w:lang w:val="hr-HR"/>
        </w:rPr>
        <w:t>, koji je stupio na snagu početkom 2019.</w:t>
      </w:r>
      <w:r w:rsidR="00A054A6" w:rsidRPr="004259D0">
        <w:rPr>
          <w:lang w:val="hr-HR"/>
        </w:rPr>
        <w:t xml:space="preserve"> godine</w:t>
      </w:r>
      <w:r w:rsidRPr="004259D0">
        <w:rPr>
          <w:lang w:val="hr-HR"/>
        </w:rPr>
        <w:t xml:space="preserve">, nacionalna fiskalna pravila za RH se u potpunosti usklađuju s odredbama Pakta o stabilnosti i rastu EU. Zakonom su utvrđena tri fiskalna pravila koja se odnose na pravilo strukturnog salda, pravilo rashoda i pravilo javnog duga. </w:t>
      </w:r>
    </w:p>
    <w:p w14:paraId="567205B4" w14:textId="77777777" w:rsidR="00C16498" w:rsidRPr="004259D0" w:rsidRDefault="00C16498" w:rsidP="00C16498">
      <w:pPr>
        <w:jc w:val="both"/>
        <w:rPr>
          <w:lang w:val="hr-HR"/>
        </w:rPr>
      </w:pPr>
      <w:r w:rsidRPr="004259D0">
        <w:rPr>
          <w:lang w:val="hr-HR"/>
        </w:rPr>
        <w:t>Strukturni saldo predstavlja manjak odnosno višak proračuna opće države koji ne uključuje cikličke ekonomske učinke i jednokratne te privremene mjere koje imaju utjecaj na prihode odnosno rashode proračuna. Izračun ciklički prilagođenog salda temeljen je na metodologiji</w:t>
      </w:r>
      <w:r w:rsidRPr="004259D0">
        <w:rPr>
          <w:rStyle w:val="FootnoteReference"/>
          <w:lang w:val="hr-HR"/>
        </w:rPr>
        <w:footnoteReference w:id="58"/>
      </w:r>
      <w:r w:rsidRPr="004259D0">
        <w:rPr>
          <w:lang w:val="hr-HR"/>
        </w:rPr>
        <w:t xml:space="preserve"> i izračunima EK za države članice EU te su kao ciklički osjetljive komponente na prihodnoj strani promatrani porez na dohodak, porez na dobit, indirektni porezi, doprinosi za socijalno osiguranje te neporezna davanja, dok su na rashodnoj strani promatrane naknade za nezaposlene. Srednjoročni proračunski cilj (MTO) odnosi se na iznos strukturnog proračunskog salda koji osigurava da kretanje manjka proračuna opće države i javnog duga bude u skladu s odredbama Pakta o stabilnosti i rastu. </w:t>
      </w:r>
    </w:p>
    <w:p w14:paraId="6F51A5CD" w14:textId="77777777" w:rsidR="00C16498" w:rsidRPr="004259D0" w:rsidRDefault="00C16498" w:rsidP="00C16498">
      <w:pPr>
        <w:spacing w:after="240"/>
        <w:jc w:val="both"/>
        <w:rPr>
          <w:lang w:val="hr-HR"/>
        </w:rPr>
      </w:pPr>
      <w:r w:rsidRPr="004259D0">
        <w:rPr>
          <w:lang w:val="hr-HR"/>
        </w:rPr>
        <w:t xml:space="preserve">Početkom 2016. godine, Odbor za ekonomska i financijska pitanja utvrdio je minimalni srednjoročni proračunski cilj za RH od -1,75% BDP-a za razdoblje 2017. - 2019., a koji je RH potvrdila kao svoj cilj u Programu konvergencije iz 2016. godine. U okviru redovite revizije srednjoročnog proračunskoga cilja, koja se provodi svake tri godine, Odbor za ekonomska i financijska pitanja je početkom 2019. godine utvrdio minimalni cilj za RH od -1,25% BDP-a, koji će vrijediti u razdoblju 2020. - 2022. </w:t>
      </w:r>
    </w:p>
    <w:p w14:paraId="2A529A64" w14:textId="0B4F3820" w:rsidR="00C16498" w:rsidRPr="004259D0" w:rsidRDefault="00C16498" w:rsidP="00C16498">
      <w:pPr>
        <w:spacing w:after="240"/>
        <w:jc w:val="both"/>
        <w:rPr>
          <w:b/>
          <w:lang w:val="hr-HR"/>
        </w:rPr>
      </w:pPr>
      <w:r w:rsidRPr="004259D0">
        <w:rPr>
          <w:b/>
          <w:lang w:val="hr-HR"/>
        </w:rPr>
        <w:t>Obzirom na planove RH vezano uz pristupanje tečajnom mehanizmu ERM II, RH se ovim Programom konvergencije obvezuje na ambiciozniji srednjoročni proračunski cilj od -1,0% BDP-a, koji je u skladu s restriktivnijim uvjetima koje moraju poštivati države članice tečajnog mehanizma ERM II.</w:t>
      </w:r>
    </w:p>
    <w:p w14:paraId="3DF9BDFA" w14:textId="3E7729CF" w:rsidR="00C16498" w:rsidRPr="004259D0" w:rsidRDefault="00C16498" w:rsidP="00C16498">
      <w:pPr>
        <w:spacing w:after="240"/>
        <w:jc w:val="both"/>
        <w:rPr>
          <w:lang w:val="hr-HR"/>
        </w:rPr>
      </w:pPr>
      <w:r w:rsidRPr="004259D0">
        <w:rPr>
          <w:lang w:val="hr-HR"/>
        </w:rPr>
        <w:t>Prema izračunima Ministarstva financija, RH je u 2018. godini ostvarila strukturni višak od 0,</w:t>
      </w:r>
      <w:r w:rsidR="0084754D" w:rsidRPr="004259D0">
        <w:rPr>
          <w:lang w:val="hr-HR"/>
        </w:rPr>
        <w:t>3</w:t>
      </w:r>
      <w:r w:rsidRPr="004259D0">
        <w:rPr>
          <w:lang w:val="hr-HR"/>
        </w:rPr>
        <w:t xml:space="preserve">% BDP-a, čime je znatno nadmašen njen srednjoročni proračunski cilj. Ovdje valja istaknuti kako je ukupni manjak/višak opće države u 2018. korigiran za jednokratni trošak po protestiranim jamstvima za Uljanik grupu u iznosu od 2,5 milijardi kuna ili 0,7% BDP-a. </w:t>
      </w:r>
    </w:p>
    <w:p w14:paraId="01673482" w14:textId="3B5450A2" w:rsidR="00C16498" w:rsidRPr="004259D0" w:rsidRDefault="00C16498" w:rsidP="00C16498">
      <w:pPr>
        <w:spacing w:after="240"/>
        <w:jc w:val="both"/>
        <w:rPr>
          <w:lang w:val="hr-HR"/>
        </w:rPr>
      </w:pPr>
      <w:r w:rsidRPr="004259D0">
        <w:rPr>
          <w:lang w:val="hr-HR"/>
        </w:rPr>
        <w:t xml:space="preserve">Fiskalne projekcije RH predstavljene u ovom dokumentu u poglavlju 3. ukazuju da RH ispunjava srednjoročni proračunski cilj u čitavom projekcijskom razdoblju. Naime, planirani strukturni saldo u 2019. iznosi -0,9% BDP-a, čime je i dalje znatno premašen cilj od -1,75% BDP-a definiran za razdoblje 2017. - 2019. Nadalje, u razdoblju 2020. - 2022. očekuje se da će se strukturni saldo kretati u rasponu od -0,7 do -0,3% BDP-a te će se u svim godinama nalaziti iznad srednjoročnog proračunskog cilja od </w:t>
      </w:r>
      <w:r w:rsidR="00395525" w:rsidRPr="004259D0">
        <w:rPr>
          <w:lang w:val="hr-HR"/>
        </w:rPr>
        <w:t xml:space="preserve">   </w:t>
      </w:r>
      <w:r w:rsidRPr="004259D0">
        <w:rPr>
          <w:lang w:val="hr-HR"/>
        </w:rPr>
        <w:t xml:space="preserve">-1,0% BDP-a definiranog za navedeno razdoblje. </w:t>
      </w:r>
    </w:p>
    <w:p w14:paraId="6F5620DC" w14:textId="77777777" w:rsidR="00C16498" w:rsidRPr="004259D0" w:rsidRDefault="00C16498" w:rsidP="00C16498">
      <w:pPr>
        <w:jc w:val="both"/>
        <w:rPr>
          <w:lang w:val="hr-HR"/>
        </w:rPr>
      </w:pPr>
      <w:r w:rsidRPr="004259D0">
        <w:rPr>
          <w:lang w:val="hr-HR"/>
        </w:rPr>
        <w:t>U svrhu održivog kretanja rashoda, uvedeno je pravilo rashoda prema kojem godišnji rast rashoda općeg proračuna ne smije prelaziti referentnu potencijalnu stopu rasta BDP-a. Također, dozvoljavaju se i izuzeća za pojedine kategorije rashoda</w:t>
      </w:r>
      <w:r w:rsidRPr="004259D0">
        <w:rPr>
          <w:vertAlign w:val="superscript"/>
        </w:rPr>
        <w:footnoteReference w:id="59"/>
      </w:r>
      <w:r w:rsidRPr="004259D0">
        <w:rPr>
          <w:lang w:val="hr-HR"/>
        </w:rPr>
        <w:t>. Iznimno, rashodi općeg proračuna mogu se povećati i iznad referentne potencijalne stope rasta BDP-a za iznos povećanja prihoda uslijed promjena zakonodavnog okvira. S druge strane, smanjenje prihoda općeg proračuna zbog promjene zakonodavnog okvira mora biti usklađeno sa smanjenjem rashoda općeg proračuna i/ili s povećanjem drugih prihoda promjenom zakonodavnog okvira. Ako je strukturni saldo jednak ili veći od srednjoročnog proračunskog cilja, pravilo rashoda se ne primjenjuje te je u tom slučaju dovoljno poštivanje pravila strukturnog salda i pravila javnog duga. S obzirom da je strukturni saldo veći od srednjoročnog proračunskog cilja u čitavom projekcijskom razdoblju, pravilo rashoda iz Zakona o fiskalnoj odgovornosti se ne primjenjuje.</w:t>
      </w:r>
    </w:p>
    <w:p w14:paraId="56379C9F" w14:textId="77777777" w:rsidR="00C16498" w:rsidRDefault="00C16498" w:rsidP="00C16498">
      <w:pPr>
        <w:jc w:val="both"/>
        <w:rPr>
          <w:lang w:val="hr-HR"/>
        </w:rPr>
      </w:pPr>
      <w:r w:rsidRPr="004259D0">
        <w:rPr>
          <w:lang w:val="hr-HR"/>
        </w:rPr>
        <w:t>Prema pravilu javnog duga, udio javnog duga u BDP-u ne smije prijeći referentnu vrijednost od 60%. Ako udio javnog duga prelazi spomenutu vrijednost, razlika između javnog duga u BDP-u i referentne vrijednosti od 60% mora se smanjivati po dinamici koja je u skladu s pravnim odredbama EU, odnosno po prosječnoj stopi od jedne dvadesetine godišnje u naredne tri godine od godine u kojoj je udio javnog duga u BDP-u prešao referentnu vrijednost od 60%. Fiskalne projekcije predstavljene u ovom dokumentu pokazuju da se udio javnog duga u BDP-u smanjuje znatno brže od propisane dinamike, čime je i pravilo javnog duga ispunjeno.</w:t>
      </w:r>
    </w:p>
    <w:p w14:paraId="2E805927" w14:textId="77777777" w:rsidR="00C16498" w:rsidRPr="0001185A" w:rsidRDefault="00C16498" w:rsidP="00C16498">
      <w:pPr>
        <w:jc w:val="both"/>
        <w:rPr>
          <w:lang w:val="hr-HR"/>
        </w:rPr>
      </w:pPr>
    </w:p>
    <w:p w14:paraId="4BCACD7D" w14:textId="77777777" w:rsidR="00C16498" w:rsidRPr="00344540" w:rsidRDefault="00C16498" w:rsidP="00C16498">
      <w:pPr>
        <w:jc w:val="both"/>
        <w:rPr>
          <w:i/>
          <w:lang w:val="hr-HR"/>
        </w:rPr>
      </w:pPr>
    </w:p>
    <w:sectPr w:rsidR="00C16498" w:rsidRPr="00344540" w:rsidSect="00997E26">
      <w:footerReference w:type="first" r:id="rId47"/>
      <w:pgSz w:w="11906" w:h="16838"/>
      <w:pgMar w:top="1247" w:right="1418" w:bottom="1247"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FC7B3" w14:textId="77777777" w:rsidR="00E7088D" w:rsidRDefault="00E7088D" w:rsidP="007C1F4F">
      <w:pPr>
        <w:spacing w:after="0" w:line="240" w:lineRule="auto"/>
      </w:pPr>
      <w:r>
        <w:separator/>
      </w:r>
    </w:p>
  </w:endnote>
  <w:endnote w:type="continuationSeparator" w:id="0">
    <w:p w14:paraId="5A1E3F0B" w14:textId="77777777" w:rsidR="00E7088D" w:rsidRDefault="00E7088D" w:rsidP="007C1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01312"/>
      <w:docPartObj>
        <w:docPartGallery w:val="Page Numbers (Bottom of Page)"/>
        <w:docPartUnique/>
      </w:docPartObj>
    </w:sdtPr>
    <w:sdtEndPr>
      <w:rPr>
        <w:noProof/>
      </w:rPr>
    </w:sdtEndPr>
    <w:sdtContent>
      <w:p w14:paraId="30B53913" w14:textId="343D750E" w:rsidR="00E7088D" w:rsidRDefault="00E7088D">
        <w:pPr>
          <w:pStyle w:val="Footer"/>
          <w:jc w:val="right"/>
        </w:pPr>
        <w:r>
          <w:fldChar w:fldCharType="begin"/>
        </w:r>
        <w:r>
          <w:instrText xml:space="preserve"> PAGE   \* MERGEFORMAT </w:instrText>
        </w:r>
        <w:r>
          <w:fldChar w:fldCharType="separate"/>
        </w:r>
        <w:r w:rsidR="005D1222">
          <w:rPr>
            <w:noProof/>
          </w:rPr>
          <w:t>II</w:t>
        </w:r>
        <w:r>
          <w:rPr>
            <w:noProof/>
          </w:rPr>
          <w:fldChar w:fldCharType="end"/>
        </w:r>
        <w:r>
          <w:rPr>
            <w:noProof/>
            <w:lang w:val="hr-HR" w:eastAsia="hr-HR"/>
          </w:rPr>
          <w:drawing>
            <wp:inline distT="0" distB="0" distL="0" distR="0" wp14:anchorId="1AA3C9B3" wp14:editId="187D953F">
              <wp:extent cx="381000" cy="381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ckice P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dtContent>
  </w:sdt>
  <w:p w14:paraId="335B602D" w14:textId="77777777" w:rsidR="00E7088D" w:rsidRDefault="00E70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8019" w14:textId="77777777" w:rsidR="00E7088D" w:rsidRDefault="00E7088D">
    <w:pPr>
      <w:pStyle w:val="Footer"/>
      <w:jc w:val="right"/>
    </w:pPr>
  </w:p>
  <w:p w14:paraId="5C810DD5" w14:textId="77777777" w:rsidR="00E7088D" w:rsidRDefault="00E70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715982"/>
      <w:docPartObj>
        <w:docPartGallery w:val="Page Numbers (Bottom of Page)"/>
        <w:docPartUnique/>
      </w:docPartObj>
    </w:sdtPr>
    <w:sdtEndPr>
      <w:rPr>
        <w:noProof/>
      </w:rPr>
    </w:sdtEndPr>
    <w:sdtContent>
      <w:p w14:paraId="39F6225A" w14:textId="6779893E" w:rsidR="00E7088D" w:rsidRDefault="00E7088D">
        <w:pPr>
          <w:pStyle w:val="Footer"/>
          <w:jc w:val="right"/>
        </w:pPr>
        <w:r>
          <w:fldChar w:fldCharType="begin"/>
        </w:r>
        <w:r>
          <w:instrText xml:space="preserve"> PAGE   \* MERGEFORMAT </w:instrText>
        </w:r>
        <w:r>
          <w:fldChar w:fldCharType="separate"/>
        </w:r>
        <w:r w:rsidR="005D1222">
          <w:rPr>
            <w:noProof/>
          </w:rPr>
          <w:t>I</w:t>
        </w:r>
        <w:r>
          <w:rPr>
            <w:noProof/>
          </w:rPr>
          <w:fldChar w:fldCharType="end"/>
        </w:r>
        <w:r>
          <w:rPr>
            <w:noProof/>
            <w:lang w:val="hr-HR" w:eastAsia="hr-HR"/>
          </w:rPr>
          <w:drawing>
            <wp:inline distT="0" distB="0" distL="0" distR="0" wp14:anchorId="24D354BA" wp14:editId="5A6617F2">
              <wp:extent cx="381000" cy="381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ckice P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dtContent>
  </w:sdt>
  <w:p w14:paraId="3290BA34" w14:textId="77777777" w:rsidR="00E7088D" w:rsidRDefault="00E708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079154"/>
      <w:docPartObj>
        <w:docPartGallery w:val="Page Numbers (Bottom of Page)"/>
        <w:docPartUnique/>
      </w:docPartObj>
    </w:sdtPr>
    <w:sdtEndPr>
      <w:rPr>
        <w:noProof/>
      </w:rPr>
    </w:sdtEndPr>
    <w:sdtContent>
      <w:p w14:paraId="5076A956" w14:textId="113A16D7" w:rsidR="00E7088D" w:rsidRDefault="00E7088D">
        <w:pPr>
          <w:pStyle w:val="Footer"/>
          <w:jc w:val="right"/>
        </w:pPr>
        <w:r>
          <w:fldChar w:fldCharType="begin"/>
        </w:r>
        <w:r>
          <w:instrText xml:space="preserve"> PAGE   \* MERGEFORMAT </w:instrText>
        </w:r>
        <w:r>
          <w:fldChar w:fldCharType="separate"/>
        </w:r>
        <w:r w:rsidR="00572AFD">
          <w:rPr>
            <w:noProof/>
          </w:rPr>
          <w:t>56</w:t>
        </w:r>
        <w:r>
          <w:rPr>
            <w:noProof/>
          </w:rPr>
          <w:fldChar w:fldCharType="end"/>
        </w:r>
      </w:p>
    </w:sdtContent>
  </w:sdt>
  <w:p w14:paraId="734B2094" w14:textId="77777777" w:rsidR="00E7088D" w:rsidRDefault="00E70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87708" w14:textId="77777777" w:rsidR="00E7088D" w:rsidRDefault="00E7088D" w:rsidP="007C1F4F">
      <w:pPr>
        <w:spacing w:after="0" w:line="240" w:lineRule="auto"/>
      </w:pPr>
      <w:r>
        <w:separator/>
      </w:r>
    </w:p>
  </w:footnote>
  <w:footnote w:type="continuationSeparator" w:id="0">
    <w:p w14:paraId="1FA6DDBE" w14:textId="77777777" w:rsidR="00E7088D" w:rsidRDefault="00E7088D" w:rsidP="007C1F4F">
      <w:pPr>
        <w:spacing w:after="0" w:line="240" w:lineRule="auto"/>
      </w:pPr>
      <w:r>
        <w:continuationSeparator/>
      </w:r>
    </w:p>
  </w:footnote>
  <w:footnote w:id="1">
    <w:p w14:paraId="0EC08797" w14:textId="3414F1F8" w:rsidR="00E7088D" w:rsidRPr="007325BF" w:rsidRDefault="00E7088D" w:rsidP="00172602">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Temeljeno na podacima dostu</w:t>
      </w:r>
      <w:r>
        <w:rPr>
          <w:sz w:val="18"/>
          <w:szCs w:val="18"/>
        </w:rPr>
        <w:t>pnim do 10. travnja 2019</w:t>
      </w:r>
      <w:r w:rsidRPr="007325BF">
        <w:rPr>
          <w:sz w:val="18"/>
          <w:szCs w:val="18"/>
        </w:rPr>
        <w:t>.</w:t>
      </w:r>
    </w:p>
  </w:footnote>
  <w:footnote w:id="2">
    <w:p w14:paraId="0B1E6268" w14:textId="77777777" w:rsidR="00E7088D" w:rsidRPr="007325BF" w:rsidRDefault="00E7088D" w:rsidP="00172602">
      <w:pPr>
        <w:pStyle w:val="FootnoteText"/>
        <w:spacing w:after="0" w:line="240" w:lineRule="auto"/>
        <w:rPr>
          <w:sz w:val="18"/>
          <w:szCs w:val="18"/>
        </w:rPr>
      </w:pPr>
      <w:r w:rsidRPr="007325BF">
        <w:rPr>
          <w:rStyle w:val="FootnoteReference"/>
          <w:sz w:val="18"/>
          <w:szCs w:val="18"/>
        </w:rPr>
        <w:footnoteRef/>
      </w:r>
      <w:r w:rsidRPr="007325BF">
        <w:rPr>
          <w:sz w:val="18"/>
          <w:szCs w:val="18"/>
        </w:rPr>
        <w:t xml:space="preserve"> ECB </w:t>
      </w:r>
      <w:r w:rsidRPr="007325BF">
        <w:rPr>
          <w:i/>
          <w:sz w:val="18"/>
          <w:szCs w:val="18"/>
        </w:rPr>
        <w:t>staff macroeconomic projections for the euro area</w:t>
      </w:r>
      <w:r w:rsidRPr="007325BF">
        <w:rPr>
          <w:sz w:val="18"/>
          <w:szCs w:val="18"/>
        </w:rPr>
        <w:t>, ožujak 2019.</w:t>
      </w:r>
    </w:p>
  </w:footnote>
  <w:footnote w:id="3">
    <w:p w14:paraId="27B1EC40" w14:textId="77777777" w:rsidR="00E7088D" w:rsidRPr="007325BF" w:rsidRDefault="00E7088D" w:rsidP="00172602">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w:t>
      </w:r>
      <w:r w:rsidRPr="007325BF">
        <w:rPr>
          <w:i/>
          <w:sz w:val="18"/>
          <w:szCs w:val="18"/>
        </w:rPr>
        <w:t>World Economic Outlook</w:t>
      </w:r>
      <w:r w:rsidRPr="007325BF">
        <w:rPr>
          <w:sz w:val="18"/>
          <w:szCs w:val="18"/>
        </w:rPr>
        <w:t xml:space="preserve">, April 2019. </w:t>
      </w:r>
    </w:p>
  </w:footnote>
  <w:footnote w:id="4">
    <w:p w14:paraId="6FC11D20" w14:textId="77777777" w:rsidR="00E7088D" w:rsidRPr="007325BF" w:rsidRDefault="00E7088D" w:rsidP="00172602">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w:t>
      </w:r>
      <w:r w:rsidRPr="007325BF">
        <w:rPr>
          <w:i/>
          <w:sz w:val="18"/>
          <w:szCs w:val="18"/>
        </w:rPr>
        <w:t>Spring 2019 forecast assumptions</w:t>
      </w:r>
      <w:r w:rsidRPr="007325BF">
        <w:rPr>
          <w:sz w:val="18"/>
          <w:szCs w:val="18"/>
        </w:rPr>
        <w:t xml:space="preserve">. </w:t>
      </w:r>
    </w:p>
  </w:footnote>
  <w:footnote w:id="5">
    <w:p w14:paraId="5E875892" w14:textId="77777777" w:rsidR="00E7088D" w:rsidRPr="007325BF" w:rsidRDefault="00E7088D" w:rsidP="00172602">
      <w:pPr>
        <w:pStyle w:val="FootnoteText"/>
        <w:spacing w:after="0" w:line="240" w:lineRule="auto"/>
        <w:rPr>
          <w:sz w:val="18"/>
          <w:szCs w:val="18"/>
        </w:rPr>
      </w:pPr>
      <w:r w:rsidRPr="007325BF">
        <w:rPr>
          <w:rStyle w:val="FootnoteReference"/>
          <w:sz w:val="18"/>
          <w:szCs w:val="18"/>
        </w:rPr>
        <w:footnoteRef/>
      </w:r>
      <w:r w:rsidRPr="007325BF">
        <w:rPr>
          <w:sz w:val="18"/>
          <w:szCs w:val="18"/>
        </w:rPr>
        <w:t xml:space="preserve"> To predstavlja značajnu korekciju u odnosu na prethodne projekcije (za 0,6 postotnih bodova). </w:t>
      </w:r>
    </w:p>
  </w:footnote>
  <w:footnote w:id="6">
    <w:p w14:paraId="36535E37" w14:textId="77777777" w:rsidR="00E7088D" w:rsidRPr="0085064B" w:rsidRDefault="00E7088D" w:rsidP="0085064B">
      <w:pPr>
        <w:pStyle w:val="FootnoteText"/>
        <w:spacing w:after="0" w:line="240" w:lineRule="auto"/>
        <w:jc w:val="both"/>
      </w:pPr>
      <w:r w:rsidRPr="0085064B">
        <w:rPr>
          <w:rStyle w:val="FootnoteReference"/>
        </w:rPr>
        <w:footnoteRef/>
      </w:r>
      <w:r w:rsidRPr="0085064B">
        <w:t xml:space="preserve"> Podaci o bruto domaćem proizvodu za 2017. i 2018. godinu su privremeni.</w:t>
      </w:r>
    </w:p>
  </w:footnote>
  <w:footnote w:id="7">
    <w:p w14:paraId="6DAB3B82" w14:textId="07A049DF" w:rsidR="00E7088D" w:rsidRPr="00124945" w:rsidRDefault="00E7088D" w:rsidP="0085064B">
      <w:pPr>
        <w:pStyle w:val="FootnoteText"/>
        <w:spacing w:after="0"/>
        <w:jc w:val="both"/>
      </w:pPr>
      <w:r w:rsidRPr="00395C68">
        <w:rPr>
          <w:rStyle w:val="FootnoteReference"/>
        </w:rPr>
        <w:footnoteRef/>
      </w:r>
      <w:r w:rsidRPr="00395C68">
        <w:t xml:space="preserve"> U ovaj okvir ugrađena je procjena makroekonomskog učinka trećeg kruga porezne reforme na realni rast BDP-a koja iznosi 0,25 postotnih bodova u 2019. i 2020. godini te 0,07 postotnih bodova u 2021. godini.</w:t>
      </w:r>
      <w:r w:rsidRPr="00124945">
        <w:t xml:space="preserve">  </w:t>
      </w:r>
    </w:p>
  </w:footnote>
  <w:footnote w:id="8">
    <w:p w14:paraId="3D7AD5A8" w14:textId="77777777" w:rsidR="00E7088D" w:rsidRPr="0085064B" w:rsidRDefault="00E7088D" w:rsidP="0085064B">
      <w:pPr>
        <w:pStyle w:val="FootnoteText"/>
        <w:spacing w:after="0" w:line="240" w:lineRule="auto"/>
        <w:jc w:val="both"/>
      </w:pPr>
      <w:r w:rsidRPr="0085064B">
        <w:rPr>
          <w:rStyle w:val="FootnoteReference"/>
        </w:rPr>
        <w:footnoteRef/>
      </w:r>
      <w:r w:rsidRPr="0085064B">
        <w:t xml:space="preserve"> Obrazloženje državnog proračuna i financijskih planova izvanproračunskih korisnika za 2019. i projekcije za 2020. i 2021. godinu. </w:t>
      </w:r>
    </w:p>
  </w:footnote>
  <w:footnote w:id="9">
    <w:p w14:paraId="493317E2" w14:textId="34CE226F" w:rsidR="00E7088D" w:rsidRDefault="00E7088D" w:rsidP="004C7643">
      <w:pPr>
        <w:pStyle w:val="FootnoteText"/>
        <w:spacing w:after="0"/>
      </w:pPr>
      <w:r w:rsidRPr="006046B3">
        <w:rPr>
          <w:sz w:val="18"/>
          <w:szCs w:val="18"/>
        </w:rPr>
        <w:footnoteRef/>
      </w:r>
      <w:r w:rsidRPr="006046B3">
        <w:rPr>
          <w:sz w:val="18"/>
          <w:szCs w:val="18"/>
        </w:rPr>
        <w:t xml:space="preserve"> Kategorija se odnosi na tržišni output, output za vlastitu finalnu uporabu te </w:t>
      </w:r>
      <w:r w:rsidR="006046B3">
        <w:rPr>
          <w:sz w:val="18"/>
          <w:szCs w:val="18"/>
        </w:rPr>
        <w:t xml:space="preserve">plaćanja za </w:t>
      </w:r>
      <w:r w:rsidRPr="006046B3">
        <w:rPr>
          <w:sz w:val="18"/>
          <w:szCs w:val="18"/>
        </w:rPr>
        <w:t>netržišni output.</w:t>
      </w:r>
      <w:r>
        <w:t xml:space="preserve"> </w:t>
      </w:r>
    </w:p>
  </w:footnote>
  <w:footnote w:id="10">
    <w:p w14:paraId="794A6D93" w14:textId="44D80193" w:rsidR="00E7088D" w:rsidRPr="007325BF" w:rsidRDefault="00E7088D" w:rsidP="004C7643">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Treba napomenuti kako su podaci za BDP za 2018. preliminarni. </w:t>
      </w:r>
    </w:p>
  </w:footnote>
  <w:footnote w:id="11">
    <w:p w14:paraId="79C654A6" w14:textId="55E7D4AA" w:rsidR="00E7088D" w:rsidRPr="007325BF" w:rsidRDefault="00E7088D" w:rsidP="004C7643">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Investicij</w:t>
      </w:r>
      <w:r w:rsidR="006046B3">
        <w:rPr>
          <w:sz w:val="18"/>
          <w:szCs w:val="18"/>
        </w:rPr>
        <w:t>e</w:t>
      </w:r>
      <w:r w:rsidRPr="007325BF">
        <w:rPr>
          <w:sz w:val="18"/>
          <w:szCs w:val="18"/>
        </w:rPr>
        <w:t xml:space="preserve"> poduzeća u većinskom državnom vlasništvu u ovom makroekonomskom okviru projicirane su konzervativnije u odnosu na njihove financijske planove. </w:t>
      </w:r>
    </w:p>
  </w:footnote>
  <w:footnote w:id="12">
    <w:p w14:paraId="27B9AF8C" w14:textId="77777777" w:rsidR="00E7088D" w:rsidRPr="007325BF" w:rsidRDefault="00E7088D" w:rsidP="00172602">
      <w:pPr>
        <w:pStyle w:val="FootnoteText"/>
        <w:spacing w:after="0" w:line="240" w:lineRule="auto"/>
        <w:rPr>
          <w:sz w:val="18"/>
          <w:szCs w:val="18"/>
        </w:rPr>
      </w:pPr>
      <w:r w:rsidRPr="007325BF">
        <w:rPr>
          <w:rStyle w:val="FootnoteReference"/>
          <w:sz w:val="18"/>
          <w:szCs w:val="18"/>
        </w:rPr>
        <w:footnoteRef/>
      </w:r>
      <w:r w:rsidRPr="007325BF">
        <w:rPr>
          <w:sz w:val="18"/>
          <w:szCs w:val="18"/>
        </w:rPr>
        <w:t xml:space="preserve"> Uključuje ceste, pruge, cjevovode, mostove, brane, sportske terene i slično. </w:t>
      </w:r>
    </w:p>
  </w:footnote>
  <w:footnote w:id="13">
    <w:p w14:paraId="465A923D" w14:textId="3CFB6FDF" w:rsidR="00E7088D" w:rsidRPr="007325BF" w:rsidRDefault="00E7088D" w:rsidP="00172602">
      <w:pPr>
        <w:pStyle w:val="FootnoteText"/>
        <w:spacing w:after="0" w:line="240" w:lineRule="auto"/>
        <w:jc w:val="both"/>
        <w:rPr>
          <w:sz w:val="18"/>
          <w:szCs w:val="18"/>
        </w:rPr>
      </w:pPr>
      <w:r w:rsidRPr="00BE2C1D">
        <w:rPr>
          <w:rStyle w:val="FootnoteReference"/>
          <w:sz w:val="18"/>
          <w:szCs w:val="18"/>
        </w:rPr>
        <w:footnoteRef/>
      </w:r>
      <w:r w:rsidRPr="00BE2C1D">
        <w:rPr>
          <w:sz w:val="18"/>
          <w:szCs w:val="18"/>
        </w:rPr>
        <w:t xml:space="preserve"> Ovakva nepovoljnija kretanja izvoza posljedica su nepovoljnih kretanja u prvom i posljednjem tromjesečju 2018. Pritom je u prvom tromjesečju 2018. zabilježen međugodišnji pad izvoza roba, na što je dijelom utjecao nepovoljan bazni učinak, dok je u posljednjem tromjesečju 2018. ostvaren njegov neznatni rast, uvelike uslijed pogoršanja ekonomske aktivnosti i inozemne potražnje glavnih trgovinskih partnera.</w:t>
      </w:r>
    </w:p>
  </w:footnote>
  <w:footnote w:id="14">
    <w:p w14:paraId="3C5A540E" w14:textId="0524C1C6" w:rsidR="00E7088D" w:rsidRPr="007325BF" w:rsidRDefault="00E7088D" w:rsidP="00172602">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U 2018. godini Njemačka, Italija i Velika Britanija činile su 36% prihoda od našeg izvoza usluga.</w:t>
      </w:r>
      <w:r w:rsidR="00AA7CED">
        <w:rPr>
          <w:sz w:val="18"/>
          <w:szCs w:val="18"/>
        </w:rPr>
        <w:t xml:space="preserve"> </w:t>
      </w:r>
      <w:r w:rsidR="00AA7CED" w:rsidRPr="007325BF">
        <w:rPr>
          <w:sz w:val="18"/>
          <w:szCs w:val="18"/>
        </w:rPr>
        <w:t>Prema Svjetskoj turističkoj organizaciji (UNWTO), u 2018. je ostvaren rast međunarodnih turističkih dolazaka u svijetu od 6%, dok se za 2019. predviđa rast međunarodnih dolazaka od 3-4%.</w:t>
      </w:r>
      <w:r w:rsidR="00AA7CED" w:rsidRPr="007325BF">
        <w:rPr>
          <w:i/>
          <w:sz w:val="18"/>
          <w:szCs w:val="18"/>
        </w:rPr>
        <w:t xml:space="preserve"> </w:t>
      </w:r>
      <w:r w:rsidRPr="007325BF">
        <w:rPr>
          <w:sz w:val="18"/>
          <w:szCs w:val="18"/>
        </w:rPr>
        <w:t xml:space="preserve"> </w:t>
      </w:r>
    </w:p>
  </w:footnote>
  <w:footnote w:id="15">
    <w:p w14:paraId="6034BDB5" w14:textId="77777777" w:rsidR="00E7088D" w:rsidRDefault="00E7088D" w:rsidP="00F56DFC">
      <w:pPr>
        <w:pStyle w:val="FootnoteText"/>
        <w:spacing w:after="0"/>
      </w:pPr>
      <w:r>
        <w:rPr>
          <w:rStyle w:val="FootnoteReference"/>
        </w:rPr>
        <w:footnoteRef/>
      </w:r>
      <w:r>
        <w:t xml:space="preserve"> </w:t>
      </w:r>
      <w:r w:rsidRPr="00E9497E">
        <w:rPr>
          <w:rFonts w:eastAsia="Times New Roman"/>
          <w:sz w:val="18"/>
        </w:rPr>
        <w:t>Pad broja radno sposobnih stanovnika</w:t>
      </w:r>
      <w:r>
        <w:rPr>
          <w:rFonts w:eastAsia="Times New Roman"/>
          <w:sz w:val="18"/>
        </w:rPr>
        <w:t xml:space="preserve"> </w:t>
      </w:r>
      <w:r w:rsidRPr="00E80BED">
        <w:rPr>
          <w:rFonts w:eastAsia="Times New Roman"/>
          <w:sz w:val="18"/>
        </w:rPr>
        <w:t>u dobi od 15 do 74 godine</w:t>
      </w:r>
      <w:r w:rsidRPr="00E9497E">
        <w:rPr>
          <w:rFonts w:eastAsia="Times New Roman"/>
          <w:sz w:val="18"/>
        </w:rPr>
        <w:t xml:space="preserve">, koji kontinuirano traje još od 2006. godine, u </w:t>
      </w:r>
      <w:r>
        <w:rPr>
          <w:rFonts w:eastAsia="Times New Roman"/>
          <w:sz w:val="18"/>
        </w:rPr>
        <w:t>razdoblju između</w:t>
      </w:r>
      <w:r w:rsidRPr="00E9497E">
        <w:rPr>
          <w:rFonts w:eastAsia="Times New Roman"/>
          <w:sz w:val="18"/>
        </w:rPr>
        <w:t xml:space="preserve"> 201</w:t>
      </w:r>
      <w:r>
        <w:rPr>
          <w:rFonts w:eastAsia="Times New Roman"/>
          <w:sz w:val="18"/>
        </w:rPr>
        <w:t>5</w:t>
      </w:r>
      <w:r w:rsidRPr="00E9497E">
        <w:rPr>
          <w:rFonts w:eastAsia="Times New Roman"/>
          <w:sz w:val="18"/>
        </w:rPr>
        <w:t>. i 201</w:t>
      </w:r>
      <w:r>
        <w:rPr>
          <w:rFonts w:eastAsia="Times New Roman"/>
          <w:sz w:val="18"/>
        </w:rPr>
        <w:t>8</w:t>
      </w:r>
      <w:r w:rsidRPr="00E9497E">
        <w:rPr>
          <w:rFonts w:eastAsia="Times New Roman"/>
          <w:sz w:val="18"/>
        </w:rPr>
        <w:t>. godin</w:t>
      </w:r>
      <w:r>
        <w:rPr>
          <w:rFonts w:eastAsia="Times New Roman"/>
          <w:sz w:val="18"/>
        </w:rPr>
        <w:t>e</w:t>
      </w:r>
      <w:r w:rsidRPr="00E9497E">
        <w:rPr>
          <w:rFonts w:eastAsia="Times New Roman"/>
          <w:sz w:val="18"/>
        </w:rPr>
        <w:t xml:space="preserve"> </w:t>
      </w:r>
      <w:r>
        <w:rPr>
          <w:rFonts w:eastAsia="Times New Roman"/>
          <w:sz w:val="18"/>
        </w:rPr>
        <w:t>prosječno je iznosio 1</w:t>
      </w:r>
      <w:r w:rsidRPr="00E9497E">
        <w:rPr>
          <w:rFonts w:eastAsia="Times New Roman"/>
          <w:sz w:val="18"/>
        </w:rPr>
        <w:t>,</w:t>
      </w:r>
      <w:r>
        <w:rPr>
          <w:rFonts w:eastAsia="Times New Roman"/>
          <w:sz w:val="18"/>
        </w:rPr>
        <w:t xml:space="preserve">0%, a nastavak tog trenda, </w:t>
      </w:r>
      <w:r w:rsidRPr="00E9497E">
        <w:rPr>
          <w:rFonts w:eastAsia="Times New Roman"/>
          <w:sz w:val="18"/>
        </w:rPr>
        <w:t>uz njegovo postupno usporavanje, očekuje se i u srednjoročnom razdoblju</w:t>
      </w:r>
      <w:r>
        <w:rPr>
          <w:rFonts w:eastAsia="Times New Roman"/>
          <w:sz w:val="18"/>
        </w:rPr>
        <w:t>.</w:t>
      </w:r>
    </w:p>
  </w:footnote>
  <w:footnote w:id="16">
    <w:p w14:paraId="2BFF23A5" w14:textId="77777777" w:rsidR="00E7088D" w:rsidRPr="007325BF" w:rsidRDefault="00E7088D" w:rsidP="00172602">
      <w:pPr>
        <w:pStyle w:val="FootnoteText"/>
        <w:spacing w:after="0" w:line="240" w:lineRule="auto"/>
        <w:jc w:val="both"/>
        <w:rPr>
          <w:rStyle w:val="FootnoteReference"/>
          <w:rFonts w:asciiTheme="minorHAnsi" w:hAnsiTheme="minorHAnsi"/>
          <w:sz w:val="18"/>
          <w:szCs w:val="18"/>
        </w:rPr>
      </w:pPr>
      <w:r w:rsidRPr="007325BF">
        <w:rPr>
          <w:rStyle w:val="FootnoteReference"/>
          <w:rFonts w:asciiTheme="minorHAnsi" w:hAnsiTheme="minorHAnsi"/>
          <w:sz w:val="18"/>
          <w:szCs w:val="18"/>
        </w:rPr>
        <w:footnoteRef/>
      </w:r>
      <w:r w:rsidRPr="007325BF">
        <w:rPr>
          <w:rStyle w:val="FootnoteReference"/>
          <w:rFonts w:asciiTheme="minorHAnsi" w:hAnsiTheme="minorHAnsi"/>
          <w:sz w:val="18"/>
          <w:szCs w:val="18"/>
        </w:rPr>
        <w:t xml:space="preserve"> </w:t>
      </w:r>
      <w:r w:rsidRPr="007325BF">
        <w:rPr>
          <w:sz w:val="18"/>
          <w:szCs w:val="18"/>
        </w:rPr>
        <w:t>Rast cijena goriva i maziva za osobna prijevozna sredstva posljedica je međugodišnjeg rasta cijena sirove nafte tipa Brent na svjetskom tržištu koji je u 2018. iznosio 30,6%.</w:t>
      </w:r>
    </w:p>
  </w:footnote>
  <w:footnote w:id="17">
    <w:p w14:paraId="63998BD1" w14:textId="733B0474" w:rsidR="00E7088D" w:rsidRPr="007325BF" w:rsidRDefault="00E7088D" w:rsidP="00211811">
      <w:pPr>
        <w:pStyle w:val="FootnoteText"/>
        <w:spacing w:after="0"/>
        <w:jc w:val="both"/>
        <w:rPr>
          <w:sz w:val="18"/>
          <w:szCs w:val="18"/>
        </w:rPr>
      </w:pPr>
      <w:r w:rsidRPr="007325BF">
        <w:rPr>
          <w:rStyle w:val="FootnoteReference"/>
          <w:sz w:val="18"/>
          <w:szCs w:val="18"/>
        </w:rPr>
        <w:footnoteRef/>
      </w:r>
      <w:r w:rsidRPr="007325BF">
        <w:rPr>
          <w:sz w:val="18"/>
          <w:szCs w:val="18"/>
        </w:rPr>
        <w:t xml:space="preserve"> Očekuje se da će povećanje cijena plina od travnja 2019. iznositi 6,9%, što će rezultirati učinkom na povećanje indeksa potrošačkih cijena od 0,11 postotnih bodova u 2019., a od 0,04 postotna boda u 2020. godini.</w:t>
      </w:r>
    </w:p>
  </w:footnote>
  <w:footnote w:id="18">
    <w:p w14:paraId="76074A67" w14:textId="1CA07367" w:rsidR="00E7088D" w:rsidRPr="007325BF" w:rsidRDefault="00E7088D" w:rsidP="00C41B6A">
      <w:pPr>
        <w:pStyle w:val="FootnoteText"/>
        <w:spacing w:after="0" w:line="240" w:lineRule="auto"/>
        <w:jc w:val="both"/>
        <w:rPr>
          <w:sz w:val="18"/>
          <w:szCs w:val="18"/>
          <w:highlight w:val="yellow"/>
        </w:rPr>
      </w:pPr>
      <w:r w:rsidRPr="007325BF">
        <w:rPr>
          <w:rStyle w:val="FootnoteReference"/>
          <w:sz w:val="18"/>
          <w:szCs w:val="18"/>
        </w:rPr>
        <w:footnoteRef/>
      </w:r>
      <w:r w:rsidRPr="007325BF">
        <w:rPr>
          <w:sz w:val="18"/>
          <w:szCs w:val="18"/>
        </w:rPr>
        <w:t xml:space="preserve"> Prema projekcijama Međunarodnog monetarnog fonda (travanj 2019.) cijene nafte tipa Brent (u američkim dolarima) trebale bi bilježiti blaga smanjenja u 2021. i 2022. godini (od -1,2% i -0,7% redom), dok se kod cijena primarnih sirovina isključujući naftu u istom razdoblju očekuje blagi rast od prosječno 0,6%.</w:t>
      </w:r>
    </w:p>
  </w:footnote>
  <w:footnote w:id="19">
    <w:p w14:paraId="7F427995" w14:textId="67C4E944" w:rsidR="00E7088D" w:rsidRPr="007325BF" w:rsidRDefault="00E7088D" w:rsidP="00172602">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Učinak povećanja osnovice za plaće zaposlenima u javnom i državnom sektoru na ukupan rast bruto plaća u 2019. procijenjen je na 0,8 postotnih bodova</w:t>
      </w:r>
      <w:r>
        <w:rPr>
          <w:sz w:val="18"/>
          <w:szCs w:val="18"/>
        </w:rPr>
        <w:t>, uz pretpostavljeni</w:t>
      </w:r>
      <w:r w:rsidRPr="007325BF">
        <w:rPr>
          <w:sz w:val="18"/>
          <w:szCs w:val="18"/>
        </w:rPr>
        <w:t xml:space="preserve"> blag</w:t>
      </w:r>
      <w:r>
        <w:rPr>
          <w:sz w:val="18"/>
          <w:szCs w:val="18"/>
        </w:rPr>
        <w:t>i</w:t>
      </w:r>
      <w:r w:rsidRPr="007325BF">
        <w:rPr>
          <w:sz w:val="18"/>
          <w:szCs w:val="18"/>
        </w:rPr>
        <w:t xml:space="preserve"> učin</w:t>
      </w:r>
      <w:r>
        <w:rPr>
          <w:sz w:val="18"/>
          <w:szCs w:val="18"/>
        </w:rPr>
        <w:t>a</w:t>
      </w:r>
      <w:r w:rsidRPr="007325BF">
        <w:rPr>
          <w:sz w:val="18"/>
          <w:szCs w:val="18"/>
        </w:rPr>
        <w:t>k prelijevanja</w:t>
      </w:r>
      <w:r>
        <w:rPr>
          <w:sz w:val="18"/>
          <w:szCs w:val="18"/>
        </w:rPr>
        <w:t xml:space="preserve"> </w:t>
      </w:r>
      <w:r w:rsidRPr="007325BF">
        <w:rPr>
          <w:sz w:val="18"/>
          <w:szCs w:val="18"/>
        </w:rPr>
        <w:t xml:space="preserve">na rast plaća u </w:t>
      </w:r>
      <w:r>
        <w:rPr>
          <w:sz w:val="18"/>
          <w:szCs w:val="18"/>
        </w:rPr>
        <w:t xml:space="preserve">ostatku </w:t>
      </w:r>
      <w:r w:rsidRPr="007325BF">
        <w:rPr>
          <w:sz w:val="18"/>
          <w:szCs w:val="18"/>
        </w:rPr>
        <w:t>gospodar</w:t>
      </w:r>
      <w:r>
        <w:rPr>
          <w:sz w:val="18"/>
          <w:szCs w:val="18"/>
        </w:rPr>
        <w:t>stva</w:t>
      </w:r>
      <w:r w:rsidRPr="007325BF">
        <w:rPr>
          <w:sz w:val="18"/>
          <w:szCs w:val="18"/>
        </w:rPr>
        <w:t>.</w:t>
      </w:r>
      <w:r>
        <w:rPr>
          <w:sz w:val="18"/>
          <w:szCs w:val="18"/>
        </w:rPr>
        <w:t xml:space="preserve"> </w:t>
      </w:r>
    </w:p>
  </w:footnote>
  <w:footnote w:id="20">
    <w:p w14:paraId="343F4E0E" w14:textId="77777777" w:rsidR="00E7088D" w:rsidRPr="007325BF" w:rsidRDefault="00E7088D" w:rsidP="00172602">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Učinak povećanja minimalne plaće na ukupan rast bruto plaća u 2019. procijenjen je na 0,3 postotnih bodova.</w:t>
      </w:r>
    </w:p>
  </w:footnote>
  <w:footnote w:id="21">
    <w:p w14:paraId="5A6915D7" w14:textId="77777777" w:rsidR="00E7088D" w:rsidRPr="007325BF" w:rsidRDefault="00E7088D" w:rsidP="00172602">
      <w:pPr>
        <w:pStyle w:val="FootnoteText"/>
        <w:spacing w:after="0" w:line="240" w:lineRule="auto"/>
        <w:rPr>
          <w:sz w:val="18"/>
          <w:szCs w:val="18"/>
        </w:rPr>
      </w:pPr>
      <w:r w:rsidRPr="007325BF">
        <w:rPr>
          <w:rStyle w:val="FootnoteReference"/>
          <w:sz w:val="18"/>
          <w:szCs w:val="18"/>
        </w:rPr>
        <w:footnoteRef/>
      </w:r>
      <w:r w:rsidRPr="007325BF">
        <w:rPr>
          <w:sz w:val="18"/>
          <w:szCs w:val="18"/>
        </w:rPr>
        <w:t xml:space="preserve"> Prihodi od turizma čine preko 70% ukupnih prihoda od usluga domaćeg gospodarstva. </w:t>
      </w:r>
    </w:p>
  </w:footnote>
  <w:footnote w:id="22">
    <w:p w14:paraId="2A6DB4E3" w14:textId="77777777" w:rsidR="00E7088D" w:rsidRPr="007325BF" w:rsidRDefault="00E7088D" w:rsidP="00172602">
      <w:pPr>
        <w:pStyle w:val="FootnoteText"/>
        <w:spacing w:after="0" w:line="240" w:lineRule="auto"/>
        <w:rPr>
          <w:sz w:val="18"/>
          <w:szCs w:val="18"/>
        </w:rPr>
      </w:pPr>
      <w:r w:rsidRPr="007325BF">
        <w:rPr>
          <w:rStyle w:val="FootnoteReference"/>
          <w:sz w:val="18"/>
          <w:szCs w:val="18"/>
        </w:rPr>
        <w:footnoteRef/>
      </w:r>
      <w:r w:rsidRPr="007325BF">
        <w:rPr>
          <w:sz w:val="18"/>
          <w:szCs w:val="18"/>
        </w:rPr>
        <w:t xml:space="preserve"> Početkom 2019. godine višak likvidnosti premašio je razinu od 30 milijardi kuna (preko 8% BDP-a). </w:t>
      </w:r>
    </w:p>
  </w:footnote>
  <w:footnote w:id="23">
    <w:p w14:paraId="4DC13F62" w14:textId="77777777" w:rsidR="00E7088D" w:rsidRPr="007325BF" w:rsidRDefault="00E7088D" w:rsidP="00172602">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Podaci o plasmanima su na temelju transakcija, koje iz ukupnog stanja plasmana isključuju učinke tečajnih i cjenovnih prilagodbi te otpisa potraživanja banaka.</w:t>
      </w:r>
    </w:p>
  </w:footnote>
  <w:footnote w:id="24">
    <w:p w14:paraId="09A9610E" w14:textId="77777777" w:rsidR="00E7088D" w:rsidRPr="007325BF" w:rsidRDefault="00E7088D" w:rsidP="00172602">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Struktura ukupnih kredita promatrana prema stanjima.</w:t>
      </w:r>
    </w:p>
  </w:footnote>
  <w:footnote w:id="25">
    <w:p w14:paraId="41FD1061" w14:textId="77777777" w:rsidR="00E7088D" w:rsidRPr="007325BF" w:rsidRDefault="00E7088D" w:rsidP="00172602">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Odnosno, da uzmu u obzir minimalne troškove života koji ne mogu biti manji od iznosa propisanog Ovršnim zakonom.</w:t>
      </w:r>
    </w:p>
  </w:footnote>
  <w:footnote w:id="26">
    <w:p w14:paraId="246A3F38" w14:textId="77777777" w:rsidR="00E7088D" w:rsidRPr="007325BF" w:rsidRDefault="00E7088D" w:rsidP="00172602">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Prema privremenim nerevidiranim podacima, dobit banaka prije oporezivanja iznosila je 5,6 milijardi HRK u 2018.  godini, što je povećanje od 44,6% u usporedbi s prethodnom godinom.</w:t>
      </w:r>
    </w:p>
  </w:footnote>
  <w:footnote w:id="27">
    <w:p w14:paraId="1B0802FD" w14:textId="77777777" w:rsidR="00E7088D" w:rsidRPr="007325BF" w:rsidRDefault="00E7088D" w:rsidP="00172602">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Smanjenje u 2018. godini iznosilo je 1,5 postotnih bodova, dok je u 2017. godini zabilježeno smanjenje udjela loših u ukupnim plasmanima za 2,5 postotnih bodova u odnosu na 2016.</w:t>
      </w:r>
    </w:p>
  </w:footnote>
  <w:footnote w:id="28">
    <w:p w14:paraId="1D676DDE" w14:textId="77777777" w:rsidR="00E7088D" w:rsidRPr="007325BF" w:rsidRDefault="00E7088D" w:rsidP="00172602">
      <w:pPr>
        <w:pStyle w:val="FootnoteText"/>
        <w:spacing w:after="0" w:line="240" w:lineRule="auto"/>
        <w:jc w:val="both"/>
        <w:rPr>
          <w:sz w:val="18"/>
          <w:szCs w:val="18"/>
        </w:rPr>
      </w:pPr>
      <w:r w:rsidRPr="007325BF">
        <w:rPr>
          <w:rStyle w:val="FootnoteReference"/>
          <w:sz w:val="18"/>
          <w:szCs w:val="18"/>
        </w:rPr>
        <w:footnoteRef/>
      </w:r>
      <w:r w:rsidRPr="007325BF">
        <w:rPr>
          <w:sz w:val="18"/>
          <w:szCs w:val="18"/>
        </w:rPr>
        <w:t xml:space="preserve"> Do kraja 2017. za izloženosti prema središnjim državama i središnjim bankama država članica EU-a, a koje nisu nominirane i financirane u valuti te države članice, dodjeljivao se povlašteni ponder rizika od 0%, dok se od 2018. primjenjuje ponder rizika ovisan o kreditnom rejtingu države. To u slučaju izloženosti domaćih banaka prema RH, a koje nisu u kunama, znači povećanje pondera rizika u 2018. na 20%, što je utjecalo na povećanje ukupne izloženosti rizicima za 5,3%.</w:t>
      </w:r>
    </w:p>
  </w:footnote>
  <w:footnote w:id="29">
    <w:p w14:paraId="0CBB7B41" w14:textId="2BF367C7" w:rsidR="00E7088D" w:rsidRPr="007F1565" w:rsidRDefault="00E7088D" w:rsidP="00E01058">
      <w:pPr>
        <w:pStyle w:val="FootnoteText"/>
        <w:spacing w:after="0"/>
        <w:rPr>
          <w:sz w:val="18"/>
          <w:szCs w:val="18"/>
        </w:rPr>
      </w:pPr>
      <w:r w:rsidRPr="007F1565">
        <w:rPr>
          <w:rStyle w:val="FootnoteReference"/>
          <w:sz w:val="18"/>
          <w:szCs w:val="18"/>
        </w:rPr>
        <w:footnoteRef/>
      </w:r>
      <w:r>
        <w:rPr>
          <w:sz w:val="18"/>
          <w:szCs w:val="18"/>
        </w:rPr>
        <w:t xml:space="preserve"> Narodne n</w:t>
      </w:r>
      <w:r w:rsidRPr="007F1565">
        <w:rPr>
          <w:sz w:val="18"/>
          <w:szCs w:val="18"/>
        </w:rPr>
        <w:t>ovine, broj 88/2017</w:t>
      </w:r>
    </w:p>
  </w:footnote>
  <w:footnote w:id="30">
    <w:p w14:paraId="4AF1ECB1" w14:textId="77777777" w:rsidR="00E7088D" w:rsidRPr="007F1565" w:rsidRDefault="00E7088D" w:rsidP="00827264">
      <w:pPr>
        <w:pStyle w:val="FootnoteText"/>
        <w:spacing w:after="0"/>
        <w:rPr>
          <w:sz w:val="18"/>
        </w:rPr>
      </w:pPr>
      <w:r w:rsidRPr="007F1565">
        <w:rPr>
          <w:rStyle w:val="FootnoteReference"/>
          <w:sz w:val="18"/>
        </w:rPr>
        <w:footnoteRef/>
      </w:r>
      <w:r w:rsidRPr="007F1565">
        <w:rPr>
          <w:sz w:val="18"/>
        </w:rPr>
        <w:t xml:space="preserve"> Narodne novine, broj 121/2017</w:t>
      </w:r>
    </w:p>
  </w:footnote>
  <w:footnote w:id="31">
    <w:p w14:paraId="54C08A5E" w14:textId="515F587C" w:rsidR="00E7088D" w:rsidRPr="00827264" w:rsidRDefault="00E7088D" w:rsidP="00827264">
      <w:pPr>
        <w:pStyle w:val="FootnoteText"/>
        <w:spacing w:after="0"/>
        <w:rPr>
          <w:sz w:val="18"/>
        </w:rPr>
      </w:pPr>
      <w:r>
        <w:rPr>
          <w:rStyle w:val="FootnoteReference"/>
        </w:rPr>
        <w:footnoteRef/>
      </w:r>
      <w:r>
        <w:t xml:space="preserve"> </w:t>
      </w:r>
      <w:r w:rsidRPr="00827264">
        <w:rPr>
          <w:sz w:val="18"/>
        </w:rPr>
        <w:t>Narodne novine, broj 113/2017</w:t>
      </w:r>
    </w:p>
  </w:footnote>
  <w:footnote w:id="32">
    <w:p w14:paraId="13917D61" w14:textId="77777777" w:rsidR="00E7088D" w:rsidRDefault="00E7088D" w:rsidP="00E01058">
      <w:pPr>
        <w:pStyle w:val="FootnoteText"/>
        <w:spacing w:after="0"/>
      </w:pPr>
      <w:r>
        <w:rPr>
          <w:rStyle w:val="FootnoteReference"/>
        </w:rPr>
        <w:footnoteRef/>
      </w:r>
      <w:r>
        <w:t xml:space="preserve"> </w:t>
      </w:r>
      <w:r w:rsidRPr="00835C94">
        <w:rPr>
          <w:sz w:val="18"/>
        </w:rPr>
        <w:t>Narodne novine, broj 58/2018</w:t>
      </w:r>
    </w:p>
  </w:footnote>
  <w:footnote w:id="33">
    <w:p w14:paraId="4F83BA3E" w14:textId="77777777" w:rsidR="00E7088D" w:rsidRPr="007F1565" w:rsidRDefault="00E7088D" w:rsidP="00E01058">
      <w:pPr>
        <w:pStyle w:val="FootnoteText"/>
        <w:spacing w:after="0"/>
        <w:rPr>
          <w:sz w:val="18"/>
          <w:szCs w:val="18"/>
        </w:rPr>
      </w:pPr>
      <w:r w:rsidRPr="007F1565">
        <w:rPr>
          <w:rStyle w:val="FootnoteReference"/>
          <w:sz w:val="18"/>
          <w:szCs w:val="18"/>
        </w:rPr>
        <w:footnoteRef/>
      </w:r>
      <w:r w:rsidRPr="007F1565">
        <w:rPr>
          <w:sz w:val="18"/>
          <w:szCs w:val="18"/>
        </w:rPr>
        <w:t xml:space="preserve"> Narodne novine, broj 59/2017</w:t>
      </w:r>
    </w:p>
  </w:footnote>
  <w:footnote w:id="34">
    <w:p w14:paraId="0B8CCBB8" w14:textId="77777777" w:rsidR="00E7088D" w:rsidRPr="007F1565" w:rsidRDefault="00E7088D" w:rsidP="00E01058">
      <w:pPr>
        <w:pStyle w:val="FootnoteText"/>
        <w:spacing w:after="0"/>
        <w:rPr>
          <w:sz w:val="18"/>
        </w:rPr>
      </w:pPr>
      <w:r w:rsidRPr="007F1565">
        <w:rPr>
          <w:rStyle w:val="FootnoteReference"/>
          <w:sz w:val="18"/>
        </w:rPr>
        <w:footnoteRef/>
      </w:r>
      <w:r w:rsidRPr="007F1565">
        <w:rPr>
          <w:sz w:val="18"/>
        </w:rPr>
        <w:t xml:space="preserve"> Narodne novine, broj 121/2017</w:t>
      </w:r>
    </w:p>
  </w:footnote>
  <w:footnote w:id="35">
    <w:p w14:paraId="33701A9A" w14:textId="77777777" w:rsidR="00E7088D" w:rsidRDefault="00E7088D" w:rsidP="00E01058">
      <w:pPr>
        <w:pStyle w:val="FootnoteText"/>
        <w:spacing w:after="0"/>
      </w:pPr>
      <w:r>
        <w:rPr>
          <w:rStyle w:val="FootnoteReference"/>
        </w:rPr>
        <w:footnoteRef/>
      </w:r>
      <w:r>
        <w:t xml:space="preserve"> </w:t>
      </w:r>
      <w:r w:rsidRPr="007B0745">
        <w:rPr>
          <w:sz w:val="18"/>
        </w:rPr>
        <w:t>Narodne novine, broj 61/2018</w:t>
      </w:r>
    </w:p>
  </w:footnote>
  <w:footnote w:id="36">
    <w:p w14:paraId="6001A952" w14:textId="77777777" w:rsidR="00E7088D" w:rsidRPr="007F1565" w:rsidRDefault="00E7088D" w:rsidP="00CF09B0">
      <w:pPr>
        <w:pStyle w:val="FootnoteText"/>
        <w:spacing w:after="0"/>
        <w:rPr>
          <w:sz w:val="18"/>
        </w:rPr>
      </w:pPr>
      <w:r w:rsidRPr="007F1565">
        <w:rPr>
          <w:rStyle w:val="FootnoteReference"/>
          <w:sz w:val="18"/>
        </w:rPr>
        <w:footnoteRef/>
      </w:r>
      <w:r w:rsidRPr="007F1565">
        <w:rPr>
          <w:sz w:val="18"/>
        </w:rPr>
        <w:t xml:space="preserve"> Narodne novine, broj 121/</w:t>
      </w:r>
      <w:r>
        <w:rPr>
          <w:sz w:val="18"/>
        </w:rPr>
        <w:t>20</w:t>
      </w:r>
      <w:r w:rsidRPr="007F1565">
        <w:rPr>
          <w:sz w:val="18"/>
        </w:rPr>
        <w:t>17</w:t>
      </w:r>
    </w:p>
  </w:footnote>
  <w:footnote w:id="37">
    <w:p w14:paraId="62F83E39" w14:textId="77777777" w:rsidR="00E7088D" w:rsidRPr="001F479B" w:rsidRDefault="00E7088D" w:rsidP="00CF09B0">
      <w:pPr>
        <w:pStyle w:val="FootnoteText"/>
        <w:spacing w:after="0"/>
        <w:jc w:val="both"/>
        <w:rPr>
          <w:sz w:val="18"/>
        </w:rPr>
      </w:pPr>
      <w:r w:rsidRPr="001F479B">
        <w:rPr>
          <w:rStyle w:val="FootnoteReference"/>
          <w:sz w:val="18"/>
        </w:rPr>
        <w:footnoteRef/>
      </w:r>
      <w:r w:rsidRPr="001F479B">
        <w:rPr>
          <w:sz w:val="18"/>
        </w:rPr>
        <w:t xml:space="preserve"> Narodne novine, broj 58/</w:t>
      </w:r>
      <w:r>
        <w:rPr>
          <w:sz w:val="18"/>
        </w:rPr>
        <w:t>20</w:t>
      </w:r>
      <w:r w:rsidRPr="001F479B">
        <w:rPr>
          <w:sz w:val="18"/>
        </w:rPr>
        <w:t>18</w:t>
      </w:r>
    </w:p>
  </w:footnote>
  <w:footnote w:id="38">
    <w:p w14:paraId="05D44A61" w14:textId="7FCCFA4F" w:rsidR="00E7088D" w:rsidRPr="00964A75" w:rsidRDefault="00E7088D" w:rsidP="00964A75">
      <w:pPr>
        <w:pStyle w:val="FootnoteText"/>
        <w:spacing w:after="0"/>
        <w:rPr>
          <w:sz w:val="18"/>
          <w:szCs w:val="18"/>
        </w:rPr>
      </w:pPr>
      <w:r>
        <w:rPr>
          <w:rStyle w:val="FootnoteReference"/>
        </w:rPr>
        <w:footnoteRef/>
      </w:r>
      <w:r>
        <w:t xml:space="preserve"> </w:t>
      </w:r>
      <w:r w:rsidRPr="00964A75">
        <w:rPr>
          <w:sz w:val="18"/>
          <w:szCs w:val="18"/>
        </w:rPr>
        <w:t>Dohodovni cenzus odnosi se na ukupni dohodak ostvaren u kalendarskoj godini po članu kućanstva mjesečno.</w:t>
      </w:r>
    </w:p>
  </w:footnote>
  <w:footnote w:id="39">
    <w:p w14:paraId="687808AA" w14:textId="77777777" w:rsidR="00E7088D" w:rsidRPr="001F479B" w:rsidRDefault="00E7088D" w:rsidP="00CF09B0">
      <w:pPr>
        <w:pStyle w:val="FootnoteText"/>
        <w:spacing w:after="0"/>
        <w:jc w:val="both"/>
        <w:rPr>
          <w:sz w:val="18"/>
        </w:rPr>
      </w:pPr>
      <w:r w:rsidRPr="001F479B">
        <w:rPr>
          <w:rStyle w:val="FootnoteReference"/>
          <w:sz w:val="18"/>
        </w:rPr>
        <w:footnoteRef/>
      </w:r>
      <w:r w:rsidRPr="001F479B">
        <w:rPr>
          <w:sz w:val="18"/>
        </w:rPr>
        <w:t xml:space="preserve"> Narodne novine, broj 61/</w:t>
      </w:r>
      <w:r>
        <w:rPr>
          <w:sz w:val="18"/>
        </w:rPr>
        <w:t>20</w:t>
      </w:r>
      <w:r w:rsidRPr="001F479B">
        <w:rPr>
          <w:sz w:val="18"/>
        </w:rPr>
        <w:t>18</w:t>
      </w:r>
    </w:p>
  </w:footnote>
  <w:footnote w:id="40">
    <w:p w14:paraId="40C7709D" w14:textId="77777777" w:rsidR="00E7088D" w:rsidRPr="00DB7CC9" w:rsidRDefault="00E7088D" w:rsidP="00426723">
      <w:pPr>
        <w:pStyle w:val="FootnoteText"/>
      </w:pPr>
      <w:r>
        <w:rPr>
          <w:rStyle w:val="FootnoteReference"/>
        </w:rPr>
        <w:footnoteRef/>
      </w:r>
      <w:r w:rsidRPr="00DB7CC9">
        <w:rPr>
          <w:noProof/>
          <w:lang w:val="en-US"/>
        </w:rPr>
        <w:t xml:space="preserve"> </w:t>
      </w:r>
      <w:r w:rsidRPr="00DB7CC9">
        <w:rPr>
          <w:i/>
          <w:noProof/>
          <w:lang w:val="en-US"/>
        </w:rPr>
        <w:t>Gilles Mourre, Caterina Astarita, Savina Princen, 2014. "Adjusting the budget balance for the business cycle: the EU methodology", European Economy – Economic Papers 53</w:t>
      </w:r>
      <w:r>
        <w:rPr>
          <w:i/>
          <w:noProof/>
          <w:lang w:val="en-US"/>
        </w:rPr>
        <w:t>6</w:t>
      </w:r>
    </w:p>
  </w:footnote>
  <w:footnote w:id="41">
    <w:p w14:paraId="01DA59E4" w14:textId="6A9C8005" w:rsidR="00E7088D" w:rsidRPr="00716726" w:rsidRDefault="00E7088D" w:rsidP="00B97FBE">
      <w:pPr>
        <w:pStyle w:val="FootnoteText"/>
        <w:spacing w:after="0" w:line="240" w:lineRule="auto"/>
        <w:rPr>
          <w:sz w:val="18"/>
          <w:szCs w:val="18"/>
        </w:rPr>
      </w:pPr>
      <w:r w:rsidRPr="00716726">
        <w:rPr>
          <w:rStyle w:val="FootnoteReference"/>
          <w:sz w:val="18"/>
          <w:szCs w:val="18"/>
        </w:rPr>
        <w:footnoteRef/>
      </w:r>
      <w:r>
        <w:rPr>
          <w:sz w:val="18"/>
          <w:szCs w:val="18"/>
        </w:rPr>
        <w:t xml:space="preserve"> Narodne novine, broj 113/2018</w:t>
      </w:r>
    </w:p>
  </w:footnote>
  <w:footnote w:id="42">
    <w:p w14:paraId="1EFC21D9" w14:textId="77777777" w:rsidR="00E7088D" w:rsidRDefault="00E7088D" w:rsidP="001944BA">
      <w:pPr>
        <w:pStyle w:val="FootnoteText"/>
        <w:spacing w:after="0"/>
      </w:pPr>
      <w:r>
        <w:rPr>
          <w:rStyle w:val="FootnoteReference"/>
        </w:rPr>
        <w:footnoteRef/>
      </w:r>
      <w:r>
        <w:t xml:space="preserve"> </w:t>
      </w:r>
      <w:r w:rsidRPr="001944BA">
        <w:rPr>
          <w:sz w:val="18"/>
        </w:rPr>
        <w:t>Narodne novine, broj 116/2012</w:t>
      </w:r>
    </w:p>
  </w:footnote>
  <w:footnote w:id="43">
    <w:p w14:paraId="49AB5155" w14:textId="77777777" w:rsidR="00E7088D" w:rsidRPr="001944BA" w:rsidRDefault="00E7088D" w:rsidP="001944BA">
      <w:pPr>
        <w:pStyle w:val="FootnoteText"/>
        <w:spacing w:after="0"/>
        <w:rPr>
          <w:sz w:val="18"/>
        </w:rPr>
      </w:pPr>
      <w:r>
        <w:rPr>
          <w:rStyle w:val="FootnoteReference"/>
        </w:rPr>
        <w:footnoteRef/>
      </w:r>
      <w:r>
        <w:t xml:space="preserve"> </w:t>
      </w:r>
      <w:r w:rsidRPr="001944BA">
        <w:rPr>
          <w:sz w:val="18"/>
        </w:rPr>
        <w:t>Narodne novine, broj</w:t>
      </w:r>
      <w:r w:rsidRPr="001944BA">
        <w:t xml:space="preserve"> </w:t>
      </w:r>
      <w:r w:rsidRPr="001944BA">
        <w:rPr>
          <w:sz w:val="18"/>
        </w:rPr>
        <w:t>84/2018</w:t>
      </w:r>
    </w:p>
  </w:footnote>
  <w:footnote w:id="44">
    <w:p w14:paraId="4C5BF901" w14:textId="77777777" w:rsidR="00E7088D" w:rsidRPr="002738AA" w:rsidRDefault="00E7088D" w:rsidP="00BB6C59">
      <w:pPr>
        <w:rPr>
          <w:rFonts w:cstheme="minorHAnsi"/>
          <w:color w:val="000000"/>
          <w:sz w:val="18"/>
          <w:szCs w:val="18"/>
          <w:lang w:val="hr-HR"/>
        </w:rPr>
      </w:pPr>
      <w:r w:rsidRPr="002738AA">
        <w:rPr>
          <w:rStyle w:val="FootnoteReference"/>
          <w:lang w:val="hr-HR"/>
        </w:rPr>
        <w:footnoteRef/>
      </w:r>
      <w:r w:rsidRPr="002738AA">
        <w:rPr>
          <w:lang w:val="hr-HR"/>
        </w:rPr>
        <w:t xml:space="preserve"> </w:t>
      </w:r>
      <w:r w:rsidRPr="002738AA">
        <w:rPr>
          <w:rFonts w:cstheme="minorHAnsi"/>
          <w:sz w:val="18"/>
          <w:szCs w:val="18"/>
          <w:lang w:val="hr-HR"/>
        </w:rPr>
        <w:t xml:space="preserve">Narodne novine, brojevi </w:t>
      </w:r>
      <w:r w:rsidRPr="002738AA">
        <w:rPr>
          <w:rFonts w:cstheme="minorHAnsi"/>
          <w:color w:val="000000"/>
          <w:sz w:val="18"/>
          <w:szCs w:val="18"/>
          <w:lang w:val="hr-HR"/>
        </w:rPr>
        <w:t>73/2013, 99/2013, 148/2013, 153/2013, 143/2014, 115/2016 i 106/2018</w:t>
      </w:r>
    </w:p>
    <w:p w14:paraId="7F6C6E01" w14:textId="77777777" w:rsidR="00E7088D" w:rsidRDefault="00E7088D" w:rsidP="00BB6C59">
      <w:pPr>
        <w:pStyle w:val="FootnoteText"/>
      </w:pPr>
    </w:p>
  </w:footnote>
  <w:footnote w:id="45">
    <w:p w14:paraId="7DC529F9" w14:textId="77777777" w:rsidR="00E7088D" w:rsidRDefault="00E7088D" w:rsidP="00460CF6">
      <w:pPr>
        <w:pStyle w:val="FootnoteText"/>
        <w:spacing w:after="0"/>
      </w:pPr>
      <w:r>
        <w:rPr>
          <w:rStyle w:val="FootnoteReference"/>
        </w:rPr>
        <w:footnoteRef/>
      </w:r>
      <w:r>
        <w:t xml:space="preserve"> </w:t>
      </w:r>
      <w:r w:rsidRPr="00460CF6">
        <w:rPr>
          <w:sz w:val="18"/>
        </w:rPr>
        <w:t>Narodne novine, brojevi 177/2004, 90/2005, 57/2006, 146/2008, 80/2010, 22/2012, 148/2013, 143/2014, 50/2016, 115/2016 i 106/2018</w:t>
      </w:r>
    </w:p>
  </w:footnote>
  <w:footnote w:id="46">
    <w:p w14:paraId="0FE8415A" w14:textId="77777777" w:rsidR="00E7088D" w:rsidRPr="00726105" w:rsidRDefault="00E7088D" w:rsidP="00BB6C59">
      <w:pPr>
        <w:pStyle w:val="FootnoteText"/>
        <w:spacing w:after="0"/>
        <w:rPr>
          <w:rFonts w:asciiTheme="minorHAnsi" w:hAnsiTheme="minorHAnsi" w:cstheme="minorHAnsi"/>
          <w:sz w:val="18"/>
          <w:szCs w:val="18"/>
        </w:rPr>
      </w:pPr>
      <w:r>
        <w:rPr>
          <w:rStyle w:val="FootnoteReference"/>
        </w:rPr>
        <w:footnoteRef/>
      </w:r>
      <w:r>
        <w:t xml:space="preserve"> </w:t>
      </w:r>
      <w:r w:rsidRPr="00726105">
        <w:rPr>
          <w:rFonts w:asciiTheme="minorHAnsi" w:hAnsiTheme="minorHAnsi" w:cstheme="minorHAnsi"/>
          <w:sz w:val="18"/>
          <w:szCs w:val="18"/>
        </w:rPr>
        <w:t>2016/1164 od 12. srpnja 2016.</w:t>
      </w:r>
    </w:p>
  </w:footnote>
  <w:footnote w:id="47">
    <w:p w14:paraId="4BC6DA61" w14:textId="77777777" w:rsidR="00E7088D" w:rsidRDefault="00E7088D" w:rsidP="009972EF">
      <w:pPr>
        <w:pStyle w:val="FootnoteText"/>
        <w:spacing w:after="0"/>
      </w:pPr>
      <w:r>
        <w:rPr>
          <w:rStyle w:val="FootnoteReference"/>
        </w:rPr>
        <w:footnoteRef/>
      </w:r>
      <w:r>
        <w:t xml:space="preserve"> </w:t>
      </w:r>
      <w:r w:rsidRPr="009972EF">
        <w:rPr>
          <w:sz w:val="18"/>
        </w:rPr>
        <w:t>Narodne novine, brojevi 84/2008, 152/2008, 94/2009, 18/2011, 22/2012, 144/2012, 148/2013, 41/2014, 143/2014, 115/2016 i 106/2018</w:t>
      </w:r>
    </w:p>
  </w:footnote>
  <w:footnote w:id="48">
    <w:p w14:paraId="4070982E" w14:textId="3470A735" w:rsidR="00E7088D" w:rsidRPr="00C256C6" w:rsidRDefault="00E7088D" w:rsidP="00C256C6">
      <w:pPr>
        <w:pStyle w:val="FootnoteText"/>
        <w:spacing w:after="0"/>
        <w:rPr>
          <w:sz w:val="18"/>
          <w:szCs w:val="18"/>
        </w:rPr>
      </w:pPr>
      <w:r>
        <w:rPr>
          <w:rStyle w:val="FootnoteReference"/>
        </w:rPr>
        <w:footnoteRef/>
      </w:r>
      <w:r>
        <w:t xml:space="preserve"> </w:t>
      </w:r>
      <w:r w:rsidRPr="00C256C6">
        <w:rPr>
          <w:sz w:val="18"/>
          <w:szCs w:val="18"/>
        </w:rPr>
        <w:t>Narodne novine, broj 106/2018</w:t>
      </w:r>
    </w:p>
  </w:footnote>
  <w:footnote w:id="49">
    <w:p w14:paraId="10956AE1" w14:textId="34DFB7BA" w:rsidR="00E7088D" w:rsidRDefault="00E7088D" w:rsidP="00C256C6">
      <w:pPr>
        <w:pStyle w:val="FootnoteText"/>
        <w:spacing w:after="0"/>
      </w:pPr>
      <w:r>
        <w:rPr>
          <w:rStyle w:val="FootnoteReference"/>
        </w:rPr>
        <w:footnoteRef/>
      </w:r>
      <w:r>
        <w:t xml:space="preserve"> </w:t>
      </w:r>
      <w:r w:rsidRPr="00C256C6">
        <w:rPr>
          <w:sz w:val="18"/>
          <w:szCs w:val="18"/>
        </w:rPr>
        <w:t>Narodne novine, broj 106/2018</w:t>
      </w:r>
    </w:p>
  </w:footnote>
  <w:footnote w:id="50">
    <w:p w14:paraId="796EAA6F" w14:textId="68BA5394" w:rsidR="00E7088D" w:rsidRPr="00261A1E" w:rsidRDefault="00E7088D" w:rsidP="00614800">
      <w:pPr>
        <w:pStyle w:val="FootnoteText"/>
        <w:rPr>
          <w:sz w:val="18"/>
          <w:szCs w:val="18"/>
        </w:rPr>
      </w:pPr>
      <w:r w:rsidRPr="00261A1E">
        <w:rPr>
          <w:rStyle w:val="FootnoteReference"/>
        </w:rPr>
        <w:footnoteRef/>
      </w:r>
      <w:r>
        <w:t xml:space="preserve"> </w:t>
      </w:r>
      <w:r>
        <w:rPr>
          <w:sz w:val="18"/>
          <w:szCs w:val="18"/>
        </w:rPr>
        <w:t>S</w:t>
      </w:r>
      <w:r w:rsidRPr="00614800">
        <w:rPr>
          <w:sz w:val="18"/>
          <w:szCs w:val="18"/>
        </w:rPr>
        <w:t xml:space="preserve">tupio na snagu 1. siječnja 2019. </w:t>
      </w:r>
    </w:p>
  </w:footnote>
  <w:footnote w:id="51">
    <w:p w14:paraId="258D5B3D" w14:textId="77777777" w:rsidR="00E7088D" w:rsidRPr="00B739A2" w:rsidRDefault="00E7088D" w:rsidP="009B4ACE">
      <w:pPr>
        <w:pStyle w:val="FootnoteText"/>
        <w:spacing w:after="0"/>
      </w:pPr>
      <w:r>
        <w:rPr>
          <w:rStyle w:val="FootnoteReference"/>
        </w:rPr>
        <w:footnoteRef/>
      </w:r>
      <w:r>
        <w:t xml:space="preserve"> </w:t>
      </w:r>
      <w:r w:rsidRPr="00614800">
        <w:rPr>
          <w:sz w:val="18"/>
          <w:szCs w:val="18"/>
        </w:rPr>
        <w:t>Narodne novine, broj 25/2019</w:t>
      </w:r>
    </w:p>
  </w:footnote>
  <w:footnote w:id="52">
    <w:p w14:paraId="3AF1F0D4" w14:textId="33E103BA" w:rsidR="00E7088D" w:rsidRPr="00B06764" w:rsidRDefault="00E7088D" w:rsidP="009B4ACE">
      <w:pPr>
        <w:pStyle w:val="FootnoteText"/>
        <w:spacing w:after="0"/>
      </w:pPr>
      <w:r>
        <w:rPr>
          <w:rStyle w:val="FootnoteReference"/>
        </w:rPr>
        <w:footnoteRef/>
      </w:r>
      <w:r>
        <w:t xml:space="preserve"> </w:t>
      </w:r>
      <w:r>
        <w:rPr>
          <w:sz w:val="18"/>
        </w:rPr>
        <w:t xml:space="preserve">Narodne novine, brojevi </w:t>
      </w:r>
      <w:r w:rsidRPr="00BA665C">
        <w:rPr>
          <w:sz w:val="18"/>
        </w:rPr>
        <w:t>87/</w:t>
      </w:r>
      <w:r>
        <w:rPr>
          <w:sz w:val="18"/>
        </w:rPr>
        <w:t>2008,</w:t>
      </w:r>
      <w:r w:rsidRPr="00BA665C">
        <w:rPr>
          <w:sz w:val="18"/>
        </w:rPr>
        <w:t xml:space="preserve"> 136/</w:t>
      </w:r>
      <w:r>
        <w:rPr>
          <w:sz w:val="18"/>
        </w:rPr>
        <w:t>20</w:t>
      </w:r>
      <w:r w:rsidRPr="00BA665C">
        <w:rPr>
          <w:sz w:val="18"/>
        </w:rPr>
        <w:t>12, 15/</w:t>
      </w:r>
      <w:r>
        <w:rPr>
          <w:sz w:val="18"/>
        </w:rPr>
        <w:t>20</w:t>
      </w:r>
      <w:r w:rsidRPr="00BA665C">
        <w:rPr>
          <w:sz w:val="18"/>
        </w:rPr>
        <w:t>15</w:t>
      </w:r>
    </w:p>
  </w:footnote>
  <w:footnote w:id="53">
    <w:p w14:paraId="6EB0BB4C" w14:textId="77777777" w:rsidR="00E7088D" w:rsidRDefault="00E7088D" w:rsidP="0047115F">
      <w:pPr>
        <w:pStyle w:val="FootnoteText"/>
        <w:spacing w:after="0"/>
      </w:pPr>
      <w:r>
        <w:rPr>
          <w:rStyle w:val="FootnoteReference"/>
        </w:rPr>
        <w:footnoteRef/>
      </w:r>
      <w:r>
        <w:t xml:space="preserve"> </w:t>
      </w:r>
      <w:r w:rsidRPr="0047115F">
        <w:rPr>
          <w:sz w:val="18"/>
        </w:rPr>
        <w:t>Narodne novine, br</w:t>
      </w:r>
      <w:r>
        <w:rPr>
          <w:sz w:val="18"/>
        </w:rPr>
        <w:t>ojevi</w:t>
      </w:r>
      <w:r w:rsidRPr="0047115F">
        <w:rPr>
          <w:sz w:val="18"/>
        </w:rPr>
        <w:t xml:space="preserve"> 87/</w:t>
      </w:r>
      <w:r>
        <w:rPr>
          <w:sz w:val="18"/>
        </w:rPr>
        <w:t>20</w:t>
      </w:r>
      <w:r w:rsidRPr="0047115F">
        <w:rPr>
          <w:sz w:val="18"/>
        </w:rPr>
        <w:t>08</w:t>
      </w:r>
      <w:r>
        <w:rPr>
          <w:sz w:val="18"/>
        </w:rPr>
        <w:t xml:space="preserve">, </w:t>
      </w:r>
      <w:r w:rsidRPr="0047115F">
        <w:rPr>
          <w:sz w:val="18"/>
        </w:rPr>
        <w:t>136/</w:t>
      </w:r>
      <w:r>
        <w:rPr>
          <w:sz w:val="18"/>
        </w:rPr>
        <w:t>20</w:t>
      </w:r>
      <w:r w:rsidRPr="0047115F">
        <w:rPr>
          <w:sz w:val="18"/>
        </w:rPr>
        <w:t>12</w:t>
      </w:r>
      <w:r>
        <w:rPr>
          <w:sz w:val="18"/>
        </w:rPr>
        <w:t xml:space="preserve"> i</w:t>
      </w:r>
      <w:r w:rsidRPr="0047115F">
        <w:rPr>
          <w:sz w:val="18"/>
        </w:rPr>
        <w:t xml:space="preserve"> </w:t>
      </w:r>
      <w:r>
        <w:rPr>
          <w:sz w:val="18"/>
        </w:rPr>
        <w:t>15/2015</w:t>
      </w:r>
    </w:p>
  </w:footnote>
  <w:footnote w:id="54">
    <w:p w14:paraId="0D0E3AFD" w14:textId="77777777" w:rsidR="00E7088D" w:rsidRDefault="00E7088D" w:rsidP="0034303D">
      <w:pPr>
        <w:pStyle w:val="FootnoteText"/>
      </w:pPr>
      <w:r>
        <w:rPr>
          <w:rStyle w:val="FootnoteReference"/>
        </w:rPr>
        <w:footnoteRef/>
      </w:r>
      <w:r>
        <w:t xml:space="preserve"> </w:t>
      </w:r>
      <w:r w:rsidRPr="0034303D">
        <w:rPr>
          <w:sz w:val="18"/>
          <w:szCs w:val="18"/>
        </w:rPr>
        <w:t>Narodne novine, broj 148/2014</w:t>
      </w:r>
    </w:p>
  </w:footnote>
  <w:footnote w:id="55">
    <w:p w14:paraId="1C50C4B5" w14:textId="77777777" w:rsidR="00E7088D" w:rsidRDefault="00E7088D" w:rsidP="008501AD">
      <w:pPr>
        <w:pStyle w:val="FootnoteText"/>
        <w:spacing w:after="0"/>
        <w:rPr>
          <w:sz w:val="18"/>
        </w:rPr>
      </w:pPr>
      <w:r>
        <w:rPr>
          <w:rStyle w:val="FootnoteReference"/>
        </w:rPr>
        <w:footnoteRef/>
      </w:r>
      <w:r>
        <w:rPr>
          <w:rStyle w:val="FootnoteReference"/>
        </w:rPr>
        <w:t xml:space="preserve"> </w:t>
      </w:r>
      <w:r>
        <w:rPr>
          <w:sz w:val="18"/>
        </w:rPr>
        <w:t>Narodne novine, broj 111/2018</w:t>
      </w:r>
    </w:p>
  </w:footnote>
  <w:footnote w:id="56">
    <w:p w14:paraId="61972234" w14:textId="77777777" w:rsidR="00E7088D" w:rsidRDefault="00E7088D" w:rsidP="008501AD">
      <w:pPr>
        <w:pStyle w:val="FootnoteText"/>
        <w:spacing w:after="0"/>
      </w:pPr>
      <w:r>
        <w:rPr>
          <w:rStyle w:val="FootnoteReference"/>
        </w:rPr>
        <w:footnoteRef/>
      </w:r>
      <w:r>
        <w:rPr>
          <w:sz w:val="18"/>
        </w:rPr>
        <w:t xml:space="preserve"> Spomenuta Izjava je detaljnije obrađena u odjeljku 2.3.</w:t>
      </w:r>
    </w:p>
  </w:footnote>
  <w:footnote w:id="57">
    <w:p w14:paraId="3FFEA5B4" w14:textId="0E3F4003" w:rsidR="00E7088D" w:rsidRDefault="00E7088D" w:rsidP="00A054A6">
      <w:pPr>
        <w:pStyle w:val="FootnoteText"/>
        <w:spacing w:after="0"/>
      </w:pPr>
      <w:r>
        <w:rPr>
          <w:rStyle w:val="FootnoteReference"/>
        </w:rPr>
        <w:footnoteRef/>
      </w:r>
      <w:r>
        <w:t xml:space="preserve"> </w:t>
      </w:r>
      <w:r w:rsidRPr="00A054A6">
        <w:rPr>
          <w:sz w:val="18"/>
        </w:rPr>
        <w:t>Narodne novine, broj 111/2018</w:t>
      </w:r>
    </w:p>
  </w:footnote>
  <w:footnote w:id="58">
    <w:p w14:paraId="0CE8FB66" w14:textId="77777777" w:rsidR="00E7088D" w:rsidRPr="00DB7CC9" w:rsidRDefault="00E7088D" w:rsidP="00C16498">
      <w:pPr>
        <w:pStyle w:val="FootnoteText"/>
      </w:pPr>
      <w:r>
        <w:rPr>
          <w:rStyle w:val="FootnoteReference"/>
        </w:rPr>
        <w:footnoteRef/>
      </w:r>
      <w:r w:rsidRPr="00DB7CC9">
        <w:rPr>
          <w:noProof/>
          <w:lang w:val="en-US"/>
        </w:rPr>
        <w:t xml:space="preserve"> </w:t>
      </w:r>
      <w:r w:rsidRPr="00DB7CC9">
        <w:rPr>
          <w:i/>
          <w:noProof/>
          <w:lang w:val="en-US"/>
        </w:rPr>
        <w:t>Gilles Mourre, Caterina Astarita, Savina Princen, 2014. "Adjusting the budget balance for the business cycle: the EU methodology", European Economy – Economic Papers 53</w:t>
      </w:r>
      <w:r>
        <w:rPr>
          <w:i/>
          <w:noProof/>
          <w:lang w:val="en-US"/>
        </w:rPr>
        <w:t>6</w:t>
      </w:r>
    </w:p>
  </w:footnote>
  <w:footnote w:id="59">
    <w:p w14:paraId="61011D71" w14:textId="5951EE51" w:rsidR="00E7088D" w:rsidRPr="00466D61" w:rsidRDefault="00E7088D" w:rsidP="00C16498">
      <w:pPr>
        <w:pStyle w:val="FootnoteText"/>
        <w:jc w:val="both"/>
        <w:rPr>
          <w:sz w:val="18"/>
          <w:szCs w:val="18"/>
        </w:rPr>
      </w:pPr>
      <w:r w:rsidRPr="00466D61">
        <w:rPr>
          <w:rStyle w:val="FootnoteReference"/>
          <w:sz w:val="18"/>
          <w:szCs w:val="18"/>
        </w:rPr>
        <w:footnoteRef/>
      </w:r>
      <w:r w:rsidRPr="00466D61">
        <w:rPr>
          <w:sz w:val="18"/>
          <w:szCs w:val="18"/>
        </w:rPr>
        <w:t xml:space="preserve"> </w:t>
      </w:r>
      <w:r w:rsidRPr="00466D61">
        <w:rPr>
          <w:i/>
          <w:sz w:val="18"/>
          <w:szCs w:val="18"/>
        </w:rPr>
        <w:t xml:space="preserve">U skladu s pravnim odredbama </w:t>
      </w:r>
      <w:r>
        <w:rPr>
          <w:i/>
          <w:sz w:val="18"/>
          <w:szCs w:val="18"/>
        </w:rPr>
        <w:t>EU</w:t>
      </w:r>
      <w:r w:rsidRPr="00466D61">
        <w:rPr>
          <w:i/>
          <w:sz w:val="18"/>
          <w:szCs w:val="18"/>
        </w:rPr>
        <w:t xml:space="preserve">, utvrđena su izuzeća za pojedine kategorije rashoda kao što su primjerice rashodi za kamate, rashodi za provođenje programa </w:t>
      </w:r>
      <w:r>
        <w:rPr>
          <w:i/>
          <w:sz w:val="18"/>
          <w:szCs w:val="18"/>
        </w:rPr>
        <w:t>EU</w:t>
      </w:r>
      <w:r w:rsidRPr="00466D61">
        <w:rPr>
          <w:i/>
          <w:sz w:val="18"/>
          <w:szCs w:val="18"/>
        </w:rPr>
        <w:t xml:space="preserve"> bez nacionalnog sufinanciranja, godišnje promjene rashoda uslijed promjena u institucionalnom obuhvatu općeg proračuna te godišnja promjena u </w:t>
      </w:r>
      <w:r>
        <w:rPr>
          <w:i/>
          <w:sz w:val="18"/>
          <w:szCs w:val="18"/>
        </w:rPr>
        <w:t xml:space="preserve">ciklički osjetljivim rashodima </w:t>
      </w:r>
      <w:r w:rsidRPr="00466D61">
        <w:rPr>
          <w:i/>
          <w:sz w:val="18"/>
          <w:szCs w:val="18"/>
        </w:rPr>
        <w:t xml:space="preserve">dok se rashodi za investicije, bez onih financiranih iz programa </w:t>
      </w:r>
      <w:r>
        <w:rPr>
          <w:i/>
          <w:sz w:val="18"/>
          <w:szCs w:val="18"/>
        </w:rPr>
        <w:t>EU</w:t>
      </w:r>
      <w:r w:rsidRPr="00466D61">
        <w:rPr>
          <w:i/>
          <w:sz w:val="18"/>
          <w:szCs w:val="18"/>
        </w:rPr>
        <w:t>, uključuju u prosječnom iznosu temeljem dinamike njihova kretanja u prethodne četiri godine.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8242B"/>
    <w:multiLevelType w:val="multilevel"/>
    <w:tmpl w:val="C2C6C18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751D23DE"/>
    <w:multiLevelType w:val="multilevel"/>
    <w:tmpl w:val="C2C6C18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hdrShapeDefaults>
    <o:shapedefaults v:ext="edit" spidmax="69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F31"/>
    <w:rsid w:val="00000688"/>
    <w:rsid w:val="00000B20"/>
    <w:rsid w:val="0000181B"/>
    <w:rsid w:val="00001C3B"/>
    <w:rsid w:val="00001EFF"/>
    <w:rsid w:val="0000210C"/>
    <w:rsid w:val="00002F0D"/>
    <w:rsid w:val="000031D3"/>
    <w:rsid w:val="0000532D"/>
    <w:rsid w:val="00005957"/>
    <w:rsid w:val="00005B68"/>
    <w:rsid w:val="00006916"/>
    <w:rsid w:val="00006BF9"/>
    <w:rsid w:val="0001067D"/>
    <w:rsid w:val="00010B50"/>
    <w:rsid w:val="00010BE8"/>
    <w:rsid w:val="000118BB"/>
    <w:rsid w:val="0001257F"/>
    <w:rsid w:val="00012CAD"/>
    <w:rsid w:val="0001301B"/>
    <w:rsid w:val="00013BB0"/>
    <w:rsid w:val="000147EC"/>
    <w:rsid w:val="00014DDF"/>
    <w:rsid w:val="00015167"/>
    <w:rsid w:val="00015198"/>
    <w:rsid w:val="000155DC"/>
    <w:rsid w:val="00015EF5"/>
    <w:rsid w:val="000164FA"/>
    <w:rsid w:val="00016C6E"/>
    <w:rsid w:val="00017F1D"/>
    <w:rsid w:val="0002045B"/>
    <w:rsid w:val="00020D84"/>
    <w:rsid w:val="00020DFF"/>
    <w:rsid w:val="00021147"/>
    <w:rsid w:val="0002157B"/>
    <w:rsid w:val="00021DCC"/>
    <w:rsid w:val="000228F2"/>
    <w:rsid w:val="00023736"/>
    <w:rsid w:val="000237EE"/>
    <w:rsid w:val="00024B7D"/>
    <w:rsid w:val="000250A5"/>
    <w:rsid w:val="00025E89"/>
    <w:rsid w:val="000266BC"/>
    <w:rsid w:val="00026C38"/>
    <w:rsid w:val="00026DBF"/>
    <w:rsid w:val="00030337"/>
    <w:rsid w:val="00032062"/>
    <w:rsid w:val="00032A54"/>
    <w:rsid w:val="000338B4"/>
    <w:rsid w:val="00033CA9"/>
    <w:rsid w:val="00033E91"/>
    <w:rsid w:val="000344B1"/>
    <w:rsid w:val="00034C16"/>
    <w:rsid w:val="00034D88"/>
    <w:rsid w:val="0003500B"/>
    <w:rsid w:val="00036096"/>
    <w:rsid w:val="00036748"/>
    <w:rsid w:val="00037967"/>
    <w:rsid w:val="00037B06"/>
    <w:rsid w:val="00040DEB"/>
    <w:rsid w:val="00041A66"/>
    <w:rsid w:val="00041D16"/>
    <w:rsid w:val="00042766"/>
    <w:rsid w:val="00042FD6"/>
    <w:rsid w:val="0004347A"/>
    <w:rsid w:val="0004367B"/>
    <w:rsid w:val="00044090"/>
    <w:rsid w:val="000459DF"/>
    <w:rsid w:val="00045E18"/>
    <w:rsid w:val="00046624"/>
    <w:rsid w:val="000466C2"/>
    <w:rsid w:val="0004729B"/>
    <w:rsid w:val="00050439"/>
    <w:rsid w:val="000507D2"/>
    <w:rsid w:val="00050FFD"/>
    <w:rsid w:val="000510FB"/>
    <w:rsid w:val="00051649"/>
    <w:rsid w:val="00052C4E"/>
    <w:rsid w:val="0005355D"/>
    <w:rsid w:val="00056A29"/>
    <w:rsid w:val="00056E56"/>
    <w:rsid w:val="000574ED"/>
    <w:rsid w:val="00057800"/>
    <w:rsid w:val="0005793E"/>
    <w:rsid w:val="00057C87"/>
    <w:rsid w:val="00057E57"/>
    <w:rsid w:val="00060D6C"/>
    <w:rsid w:val="00060E36"/>
    <w:rsid w:val="00061185"/>
    <w:rsid w:val="00061525"/>
    <w:rsid w:val="00061DE4"/>
    <w:rsid w:val="00061E7B"/>
    <w:rsid w:val="00064243"/>
    <w:rsid w:val="00064292"/>
    <w:rsid w:val="000645B4"/>
    <w:rsid w:val="00064B25"/>
    <w:rsid w:val="00064B6D"/>
    <w:rsid w:val="00064E25"/>
    <w:rsid w:val="00064E9C"/>
    <w:rsid w:val="0006578E"/>
    <w:rsid w:val="00065862"/>
    <w:rsid w:val="00065A31"/>
    <w:rsid w:val="00065BDD"/>
    <w:rsid w:val="00066746"/>
    <w:rsid w:val="000679B1"/>
    <w:rsid w:val="00067D9C"/>
    <w:rsid w:val="000711E7"/>
    <w:rsid w:val="00071793"/>
    <w:rsid w:val="00072108"/>
    <w:rsid w:val="0007241E"/>
    <w:rsid w:val="00072CF7"/>
    <w:rsid w:val="00072F02"/>
    <w:rsid w:val="000733C7"/>
    <w:rsid w:val="00073D36"/>
    <w:rsid w:val="00074B7F"/>
    <w:rsid w:val="0007504B"/>
    <w:rsid w:val="00075224"/>
    <w:rsid w:val="0007534E"/>
    <w:rsid w:val="00075C95"/>
    <w:rsid w:val="00075DF2"/>
    <w:rsid w:val="0007618C"/>
    <w:rsid w:val="000769AE"/>
    <w:rsid w:val="00077C0F"/>
    <w:rsid w:val="000808BD"/>
    <w:rsid w:val="00080E5A"/>
    <w:rsid w:val="000818DD"/>
    <w:rsid w:val="00082004"/>
    <w:rsid w:val="0008276D"/>
    <w:rsid w:val="00082D02"/>
    <w:rsid w:val="00082D8E"/>
    <w:rsid w:val="00083043"/>
    <w:rsid w:val="000832D6"/>
    <w:rsid w:val="00083F44"/>
    <w:rsid w:val="00084CC9"/>
    <w:rsid w:val="00084DFA"/>
    <w:rsid w:val="0008501E"/>
    <w:rsid w:val="000865CF"/>
    <w:rsid w:val="00086F00"/>
    <w:rsid w:val="0008718B"/>
    <w:rsid w:val="00087286"/>
    <w:rsid w:val="000875BE"/>
    <w:rsid w:val="00087777"/>
    <w:rsid w:val="00087B00"/>
    <w:rsid w:val="00090900"/>
    <w:rsid w:val="00090A80"/>
    <w:rsid w:val="00090C74"/>
    <w:rsid w:val="00090F53"/>
    <w:rsid w:val="000921B0"/>
    <w:rsid w:val="00092362"/>
    <w:rsid w:val="00092BE9"/>
    <w:rsid w:val="00093CDA"/>
    <w:rsid w:val="00094D50"/>
    <w:rsid w:val="00095548"/>
    <w:rsid w:val="00095587"/>
    <w:rsid w:val="000958F0"/>
    <w:rsid w:val="00095DB6"/>
    <w:rsid w:val="00096738"/>
    <w:rsid w:val="00096B04"/>
    <w:rsid w:val="000A00D9"/>
    <w:rsid w:val="000A022E"/>
    <w:rsid w:val="000A09A5"/>
    <w:rsid w:val="000A13FE"/>
    <w:rsid w:val="000A164C"/>
    <w:rsid w:val="000A1884"/>
    <w:rsid w:val="000A1950"/>
    <w:rsid w:val="000A2027"/>
    <w:rsid w:val="000A2628"/>
    <w:rsid w:val="000A27BA"/>
    <w:rsid w:val="000A2F80"/>
    <w:rsid w:val="000A33C1"/>
    <w:rsid w:val="000A36EE"/>
    <w:rsid w:val="000A528C"/>
    <w:rsid w:val="000A5800"/>
    <w:rsid w:val="000A5C1B"/>
    <w:rsid w:val="000A5F41"/>
    <w:rsid w:val="000A6D08"/>
    <w:rsid w:val="000A6D33"/>
    <w:rsid w:val="000A78FC"/>
    <w:rsid w:val="000B0623"/>
    <w:rsid w:val="000B090F"/>
    <w:rsid w:val="000B133D"/>
    <w:rsid w:val="000B1DBD"/>
    <w:rsid w:val="000B2550"/>
    <w:rsid w:val="000B34A7"/>
    <w:rsid w:val="000B3F61"/>
    <w:rsid w:val="000B5751"/>
    <w:rsid w:val="000B66AF"/>
    <w:rsid w:val="000C0195"/>
    <w:rsid w:val="000C0838"/>
    <w:rsid w:val="000C1D85"/>
    <w:rsid w:val="000C1E49"/>
    <w:rsid w:val="000C1EF8"/>
    <w:rsid w:val="000C269C"/>
    <w:rsid w:val="000C2857"/>
    <w:rsid w:val="000C418A"/>
    <w:rsid w:val="000C51A1"/>
    <w:rsid w:val="000C53DD"/>
    <w:rsid w:val="000C5578"/>
    <w:rsid w:val="000C5789"/>
    <w:rsid w:val="000C586F"/>
    <w:rsid w:val="000C5CDC"/>
    <w:rsid w:val="000C5F1B"/>
    <w:rsid w:val="000C5FEB"/>
    <w:rsid w:val="000C6156"/>
    <w:rsid w:val="000C6B5A"/>
    <w:rsid w:val="000C769D"/>
    <w:rsid w:val="000C786E"/>
    <w:rsid w:val="000D04A7"/>
    <w:rsid w:val="000D0BA1"/>
    <w:rsid w:val="000D0C61"/>
    <w:rsid w:val="000D0D82"/>
    <w:rsid w:val="000D1B6A"/>
    <w:rsid w:val="000D2362"/>
    <w:rsid w:val="000D2814"/>
    <w:rsid w:val="000D2BE5"/>
    <w:rsid w:val="000D37F0"/>
    <w:rsid w:val="000D3C4A"/>
    <w:rsid w:val="000D3DC1"/>
    <w:rsid w:val="000D47B3"/>
    <w:rsid w:val="000D4BC1"/>
    <w:rsid w:val="000D5B9D"/>
    <w:rsid w:val="000D7A15"/>
    <w:rsid w:val="000D7B0C"/>
    <w:rsid w:val="000D7F75"/>
    <w:rsid w:val="000E0491"/>
    <w:rsid w:val="000E0732"/>
    <w:rsid w:val="000E0857"/>
    <w:rsid w:val="000E132F"/>
    <w:rsid w:val="000E1524"/>
    <w:rsid w:val="000E18E6"/>
    <w:rsid w:val="000E2133"/>
    <w:rsid w:val="000E2BC7"/>
    <w:rsid w:val="000E359C"/>
    <w:rsid w:val="000E4325"/>
    <w:rsid w:val="000E4928"/>
    <w:rsid w:val="000E49AB"/>
    <w:rsid w:val="000E522A"/>
    <w:rsid w:val="000E586D"/>
    <w:rsid w:val="000E5AB6"/>
    <w:rsid w:val="000E639D"/>
    <w:rsid w:val="000E67F9"/>
    <w:rsid w:val="000E6901"/>
    <w:rsid w:val="000E6FCD"/>
    <w:rsid w:val="000E7499"/>
    <w:rsid w:val="000E7586"/>
    <w:rsid w:val="000F00AA"/>
    <w:rsid w:val="000F0439"/>
    <w:rsid w:val="000F0B33"/>
    <w:rsid w:val="000F1493"/>
    <w:rsid w:val="000F1A1D"/>
    <w:rsid w:val="000F1A81"/>
    <w:rsid w:val="000F3150"/>
    <w:rsid w:val="000F3579"/>
    <w:rsid w:val="000F38A4"/>
    <w:rsid w:val="000F4C56"/>
    <w:rsid w:val="000F58FB"/>
    <w:rsid w:val="000F5D73"/>
    <w:rsid w:val="000F5FD1"/>
    <w:rsid w:val="000F623E"/>
    <w:rsid w:val="000F64C2"/>
    <w:rsid w:val="000F6DC3"/>
    <w:rsid w:val="000F767A"/>
    <w:rsid w:val="000F7BC5"/>
    <w:rsid w:val="001012BA"/>
    <w:rsid w:val="0010141F"/>
    <w:rsid w:val="001018D2"/>
    <w:rsid w:val="00101EC3"/>
    <w:rsid w:val="001024E1"/>
    <w:rsid w:val="00103323"/>
    <w:rsid w:val="0010391E"/>
    <w:rsid w:val="00103CCD"/>
    <w:rsid w:val="00103F3C"/>
    <w:rsid w:val="00104586"/>
    <w:rsid w:val="001049A9"/>
    <w:rsid w:val="001050E3"/>
    <w:rsid w:val="00105174"/>
    <w:rsid w:val="0010526A"/>
    <w:rsid w:val="00105403"/>
    <w:rsid w:val="00105D94"/>
    <w:rsid w:val="00106507"/>
    <w:rsid w:val="00110433"/>
    <w:rsid w:val="00111EFC"/>
    <w:rsid w:val="0011226B"/>
    <w:rsid w:val="00112725"/>
    <w:rsid w:val="00112A8E"/>
    <w:rsid w:val="00112C82"/>
    <w:rsid w:val="00113140"/>
    <w:rsid w:val="0011594D"/>
    <w:rsid w:val="00115D6F"/>
    <w:rsid w:val="001162AF"/>
    <w:rsid w:val="00117139"/>
    <w:rsid w:val="001175DE"/>
    <w:rsid w:val="001206B0"/>
    <w:rsid w:val="00120F3B"/>
    <w:rsid w:val="0012137A"/>
    <w:rsid w:val="001214D3"/>
    <w:rsid w:val="00121E63"/>
    <w:rsid w:val="00121EA7"/>
    <w:rsid w:val="00122732"/>
    <w:rsid w:val="001229A9"/>
    <w:rsid w:val="001237BD"/>
    <w:rsid w:val="00123BE1"/>
    <w:rsid w:val="00124945"/>
    <w:rsid w:val="00124BD2"/>
    <w:rsid w:val="00125123"/>
    <w:rsid w:val="0012537A"/>
    <w:rsid w:val="001256A5"/>
    <w:rsid w:val="00125F0E"/>
    <w:rsid w:val="001264A8"/>
    <w:rsid w:val="0012669A"/>
    <w:rsid w:val="001269A8"/>
    <w:rsid w:val="001311D3"/>
    <w:rsid w:val="001318E6"/>
    <w:rsid w:val="00131EA6"/>
    <w:rsid w:val="00132445"/>
    <w:rsid w:val="00132910"/>
    <w:rsid w:val="001334A5"/>
    <w:rsid w:val="0013420B"/>
    <w:rsid w:val="00134307"/>
    <w:rsid w:val="00134555"/>
    <w:rsid w:val="00134E21"/>
    <w:rsid w:val="001356A7"/>
    <w:rsid w:val="00135AEA"/>
    <w:rsid w:val="001360F9"/>
    <w:rsid w:val="0013634D"/>
    <w:rsid w:val="00136F04"/>
    <w:rsid w:val="00137780"/>
    <w:rsid w:val="00137E64"/>
    <w:rsid w:val="001409CF"/>
    <w:rsid w:val="00140DC1"/>
    <w:rsid w:val="001417AF"/>
    <w:rsid w:val="00141F1E"/>
    <w:rsid w:val="00142253"/>
    <w:rsid w:val="001424FB"/>
    <w:rsid w:val="001429E1"/>
    <w:rsid w:val="00142F06"/>
    <w:rsid w:val="001430A5"/>
    <w:rsid w:val="0014329F"/>
    <w:rsid w:val="001438FB"/>
    <w:rsid w:val="00143924"/>
    <w:rsid w:val="00144D34"/>
    <w:rsid w:val="00145037"/>
    <w:rsid w:val="0014666A"/>
    <w:rsid w:val="00147D0D"/>
    <w:rsid w:val="00150582"/>
    <w:rsid w:val="0015074C"/>
    <w:rsid w:val="0015165C"/>
    <w:rsid w:val="00151744"/>
    <w:rsid w:val="00151A34"/>
    <w:rsid w:val="00151C38"/>
    <w:rsid w:val="00151FE3"/>
    <w:rsid w:val="001521AD"/>
    <w:rsid w:val="00152249"/>
    <w:rsid w:val="00152502"/>
    <w:rsid w:val="00152A02"/>
    <w:rsid w:val="00152D14"/>
    <w:rsid w:val="0015307C"/>
    <w:rsid w:val="0015401A"/>
    <w:rsid w:val="001546D6"/>
    <w:rsid w:val="00154740"/>
    <w:rsid w:val="00154AB3"/>
    <w:rsid w:val="001559FA"/>
    <w:rsid w:val="001562B3"/>
    <w:rsid w:val="00156CA9"/>
    <w:rsid w:val="00156FF3"/>
    <w:rsid w:val="00157030"/>
    <w:rsid w:val="001570EF"/>
    <w:rsid w:val="00157BDE"/>
    <w:rsid w:val="00161484"/>
    <w:rsid w:val="00161A7C"/>
    <w:rsid w:val="00161DA0"/>
    <w:rsid w:val="001621D1"/>
    <w:rsid w:val="00164658"/>
    <w:rsid w:val="001646AC"/>
    <w:rsid w:val="00164A4D"/>
    <w:rsid w:val="00164C95"/>
    <w:rsid w:val="0016503D"/>
    <w:rsid w:val="001651E7"/>
    <w:rsid w:val="001665AB"/>
    <w:rsid w:val="00167019"/>
    <w:rsid w:val="00167669"/>
    <w:rsid w:val="001679C5"/>
    <w:rsid w:val="00167B98"/>
    <w:rsid w:val="001709A4"/>
    <w:rsid w:val="00170EFE"/>
    <w:rsid w:val="00171E29"/>
    <w:rsid w:val="00171FE5"/>
    <w:rsid w:val="00172602"/>
    <w:rsid w:val="00172672"/>
    <w:rsid w:val="00173E7A"/>
    <w:rsid w:val="001747FF"/>
    <w:rsid w:val="00175A15"/>
    <w:rsid w:val="001764B4"/>
    <w:rsid w:val="00176C6E"/>
    <w:rsid w:val="00177F93"/>
    <w:rsid w:val="00180944"/>
    <w:rsid w:val="00180E2E"/>
    <w:rsid w:val="001814AD"/>
    <w:rsid w:val="001816F9"/>
    <w:rsid w:val="0018199D"/>
    <w:rsid w:val="00181EF2"/>
    <w:rsid w:val="00181F10"/>
    <w:rsid w:val="00182974"/>
    <w:rsid w:val="00182F3A"/>
    <w:rsid w:val="00183298"/>
    <w:rsid w:val="00183355"/>
    <w:rsid w:val="001843B0"/>
    <w:rsid w:val="00184559"/>
    <w:rsid w:val="00184E08"/>
    <w:rsid w:val="001853BD"/>
    <w:rsid w:val="0018581D"/>
    <w:rsid w:val="0018589C"/>
    <w:rsid w:val="00185A2A"/>
    <w:rsid w:val="00185F4D"/>
    <w:rsid w:val="00187B91"/>
    <w:rsid w:val="001903A8"/>
    <w:rsid w:val="001916B7"/>
    <w:rsid w:val="00191AD4"/>
    <w:rsid w:val="00191DCA"/>
    <w:rsid w:val="00192A74"/>
    <w:rsid w:val="00192B0C"/>
    <w:rsid w:val="00192C11"/>
    <w:rsid w:val="001930A1"/>
    <w:rsid w:val="00193902"/>
    <w:rsid w:val="001944BA"/>
    <w:rsid w:val="00194819"/>
    <w:rsid w:val="00194D16"/>
    <w:rsid w:val="00194D87"/>
    <w:rsid w:val="00195047"/>
    <w:rsid w:val="0019562F"/>
    <w:rsid w:val="00195A01"/>
    <w:rsid w:val="0019642A"/>
    <w:rsid w:val="001979F8"/>
    <w:rsid w:val="001A02BD"/>
    <w:rsid w:val="001A0364"/>
    <w:rsid w:val="001A1AB1"/>
    <w:rsid w:val="001A1B41"/>
    <w:rsid w:val="001A1D4B"/>
    <w:rsid w:val="001A1FF1"/>
    <w:rsid w:val="001A34A6"/>
    <w:rsid w:val="001A3C9B"/>
    <w:rsid w:val="001A4314"/>
    <w:rsid w:val="001A477E"/>
    <w:rsid w:val="001A4E17"/>
    <w:rsid w:val="001A4E70"/>
    <w:rsid w:val="001A5F1B"/>
    <w:rsid w:val="001A6794"/>
    <w:rsid w:val="001A7C32"/>
    <w:rsid w:val="001B15C3"/>
    <w:rsid w:val="001B16DC"/>
    <w:rsid w:val="001B1965"/>
    <w:rsid w:val="001B1CD7"/>
    <w:rsid w:val="001B2BB0"/>
    <w:rsid w:val="001B32B0"/>
    <w:rsid w:val="001B4169"/>
    <w:rsid w:val="001B5275"/>
    <w:rsid w:val="001B549D"/>
    <w:rsid w:val="001B54D8"/>
    <w:rsid w:val="001B5A29"/>
    <w:rsid w:val="001B5FAC"/>
    <w:rsid w:val="001B64C0"/>
    <w:rsid w:val="001B6767"/>
    <w:rsid w:val="001B67CD"/>
    <w:rsid w:val="001B6A22"/>
    <w:rsid w:val="001B7287"/>
    <w:rsid w:val="001B7FD9"/>
    <w:rsid w:val="001C02A3"/>
    <w:rsid w:val="001C05A9"/>
    <w:rsid w:val="001C0A5C"/>
    <w:rsid w:val="001C1BCB"/>
    <w:rsid w:val="001C2DA4"/>
    <w:rsid w:val="001C344D"/>
    <w:rsid w:val="001C3BBC"/>
    <w:rsid w:val="001C51BB"/>
    <w:rsid w:val="001C581B"/>
    <w:rsid w:val="001C751A"/>
    <w:rsid w:val="001C7757"/>
    <w:rsid w:val="001C7B44"/>
    <w:rsid w:val="001D000D"/>
    <w:rsid w:val="001D0C99"/>
    <w:rsid w:val="001D0FD4"/>
    <w:rsid w:val="001D11F2"/>
    <w:rsid w:val="001D14BB"/>
    <w:rsid w:val="001D1CFE"/>
    <w:rsid w:val="001D1DC4"/>
    <w:rsid w:val="001D29C9"/>
    <w:rsid w:val="001D3AD8"/>
    <w:rsid w:val="001D3E85"/>
    <w:rsid w:val="001D5891"/>
    <w:rsid w:val="001D5C91"/>
    <w:rsid w:val="001D7908"/>
    <w:rsid w:val="001E0075"/>
    <w:rsid w:val="001E03A6"/>
    <w:rsid w:val="001E0758"/>
    <w:rsid w:val="001E0BDE"/>
    <w:rsid w:val="001E19B0"/>
    <w:rsid w:val="001E208E"/>
    <w:rsid w:val="001E2970"/>
    <w:rsid w:val="001E2A19"/>
    <w:rsid w:val="001E2F1D"/>
    <w:rsid w:val="001E3F43"/>
    <w:rsid w:val="001E5070"/>
    <w:rsid w:val="001E52EF"/>
    <w:rsid w:val="001E533A"/>
    <w:rsid w:val="001E6DB1"/>
    <w:rsid w:val="001E7811"/>
    <w:rsid w:val="001E7A9A"/>
    <w:rsid w:val="001F063D"/>
    <w:rsid w:val="001F08F9"/>
    <w:rsid w:val="001F1219"/>
    <w:rsid w:val="001F138B"/>
    <w:rsid w:val="001F2722"/>
    <w:rsid w:val="001F34C5"/>
    <w:rsid w:val="001F36D8"/>
    <w:rsid w:val="001F3A26"/>
    <w:rsid w:val="001F4A99"/>
    <w:rsid w:val="001F4DF0"/>
    <w:rsid w:val="001F5452"/>
    <w:rsid w:val="001F5A87"/>
    <w:rsid w:val="001F5D68"/>
    <w:rsid w:val="001F5F4E"/>
    <w:rsid w:val="001F7F37"/>
    <w:rsid w:val="00200EFE"/>
    <w:rsid w:val="00201AF5"/>
    <w:rsid w:val="002030C0"/>
    <w:rsid w:val="002033E3"/>
    <w:rsid w:val="00203CC8"/>
    <w:rsid w:val="002041E7"/>
    <w:rsid w:val="0020424A"/>
    <w:rsid w:val="00204553"/>
    <w:rsid w:val="00204884"/>
    <w:rsid w:val="002055E1"/>
    <w:rsid w:val="002058DF"/>
    <w:rsid w:val="00205B50"/>
    <w:rsid w:val="0020750A"/>
    <w:rsid w:val="00210B74"/>
    <w:rsid w:val="00210EE5"/>
    <w:rsid w:val="00211581"/>
    <w:rsid w:val="00211811"/>
    <w:rsid w:val="00211CEB"/>
    <w:rsid w:val="0021202E"/>
    <w:rsid w:val="00212840"/>
    <w:rsid w:val="00212862"/>
    <w:rsid w:val="00213130"/>
    <w:rsid w:val="002133C5"/>
    <w:rsid w:val="002135AC"/>
    <w:rsid w:val="00213E2F"/>
    <w:rsid w:val="002140C3"/>
    <w:rsid w:val="00214222"/>
    <w:rsid w:val="002147E5"/>
    <w:rsid w:val="00214B7B"/>
    <w:rsid w:val="00215A51"/>
    <w:rsid w:val="00216159"/>
    <w:rsid w:val="00216246"/>
    <w:rsid w:val="002164B6"/>
    <w:rsid w:val="00216717"/>
    <w:rsid w:val="00217C1A"/>
    <w:rsid w:val="00220BD9"/>
    <w:rsid w:val="002216D8"/>
    <w:rsid w:val="00221F58"/>
    <w:rsid w:val="002227F4"/>
    <w:rsid w:val="00222E59"/>
    <w:rsid w:val="00223CC8"/>
    <w:rsid w:val="002246BA"/>
    <w:rsid w:val="00225750"/>
    <w:rsid w:val="0022584A"/>
    <w:rsid w:val="00225B19"/>
    <w:rsid w:val="002300CA"/>
    <w:rsid w:val="00230115"/>
    <w:rsid w:val="00230713"/>
    <w:rsid w:val="00230D3F"/>
    <w:rsid w:val="0023101F"/>
    <w:rsid w:val="00231188"/>
    <w:rsid w:val="0023135D"/>
    <w:rsid w:val="0023151F"/>
    <w:rsid w:val="00232053"/>
    <w:rsid w:val="00232545"/>
    <w:rsid w:val="00232578"/>
    <w:rsid w:val="00233114"/>
    <w:rsid w:val="0023322C"/>
    <w:rsid w:val="00234075"/>
    <w:rsid w:val="00235518"/>
    <w:rsid w:val="002359E2"/>
    <w:rsid w:val="00235CEA"/>
    <w:rsid w:val="002363EC"/>
    <w:rsid w:val="00236982"/>
    <w:rsid w:val="00236B57"/>
    <w:rsid w:val="00237A12"/>
    <w:rsid w:val="002408DF"/>
    <w:rsid w:val="002427E9"/>
    <w:rsid w:val="002429EA"/>
    <w:rsid w:val="00242B79"/>
    <w:rsid w:val="002434C2"/>
    <w:rsid w:val="00243EB6"/>
    <w:rsid w:val="002441E8"/>
    <w:rsid w:val="002459EC"/>
    <w:rsid w:val="00245E50"/>
    <w:rsid w:val="00245FB2"/>
    <w:rsid w:val="002462B2"/>
    <w:rsid w:val="00246822"/>
    <w:rsid w:val="0024733B"/>
    <w:rsid w:val="00250B63"/>
    <w:rsid w:val="0025147D"/>
    <w:rsid w:val="00251E27"/>
    <w:rsid w:val="0025256A"/>
    <w:rsid w:val="00252EE1"/>
    <w:rsid w:val="002536B9"/>
    <w:rsid w:val="0025454B"/>
    <w:rsid w:val="00254C49"/>
    <w:rsid w:val="0025560B"/>
    <w:rsid w:val="00255E60"/>
    <w:rsid w:val="00256605"/>
    <w:rsid w:val="00256E5D"/>
    <w:rsid w:val="002572F9"/>
    <w:rsid w:val="002579B6"/>
    <w:rsid w:val="00260D44"/>
    <w:rsid w:val="002618AB"/>
    <w:rsid w:val="00261D45"/>
    <w:rsid w:val="00261EA9"/>
    <w:rsid w:val="00261ED2"/>
    <w:rsid w:val="002625B7"/>
    <w:rsid w:val="00262E0E"/>
    <w:rsid w:val="00263D34"/>
    <w:rsid w:val="002640F3"/>
    <w:rsid w:val="00264394"/>
    <w:rsid w:val="002646C6"/>
    <w:rsid w:val="002662C0"/>
    <w:rsid w:val="00266A9C"/>
    <w:rsid w:val="002671AE"/>
    <w:rsid w:val="00267AEA"/>
    <w:rsid w:val="00270563"/>
    <w:rsid w:val="00271A45"/>
    <w:rsid w:val="002727C8"/>
    <w:rsid w:val="002738AA"/>
    <w:rsid w:val="00273DFB"/>
    <w:rsid w:val="00274354"/>
    <w:rsid w:val="00274376"/>
    <w:rsid w:val="002745EF"/>
    <w:rsid w:val="002757BB"/>
    <w:rsid w:val="00276721"/>
    <w:rsid w:val="00276CFE"/>
    <w:rsid w:val="0027795D"/>
    <w:rsid w:val="00277B91"/>
    <w:rsid w:val="00281A05"/>
    <w:rsid w:val="00282048"/>
    <w:rsid w:val="00282081"/>
    <w:rsid w:val="002822FF"/>
    <w:rsid w:val="00282571"/>
    <w:rsid w:val="00283222"/>
    <w:rsid w:val="00283968"/>
    <w:rsid w:val="00283A03"/>
    <w:rsid w:val="002846CB"/>
    <w:rsid w:val="00284C71"/>
    <w:rsid w:val="00284C86"/>
    <w:rsid w:val="00285771"/>
    <w:rsid w:val="00286CB8"/>
    <w:rsid w:val="00290292"/>
    <w:rsid w:val="002910E1"/>
    <w:rsid w:val="00291EA0"/>
    <w:rsid w:val="00291EEA"/>
    <w:rsid w:val="00292283"/>
    <w:rsid w:val="002924FC"/>
    <w:rsid w:val="00292633"/>
    <w:rsid w:val="002934FD"/>
    <w:rsid w:val="00293E22"/>
    <w:rsid w:val="00294094"/>
    <w:rsid w:val="002945B5"/>
    <w:rsid w:val="0029469F"/>
    <w:rsid w:val="00294D3D"/>
    <w:rsid w:val="0029503E"/>
    <w:rsid w:val="002954FF"/>
    <w:rsid w:val="00295758"/>
    <w:rsid w:val="00295D36"/>
    <w:rsid w:val="002960F0"/>
    <w:rsid w:val="00296293"/>
    <w:rsid w:val="00296B96"/>
    <w:rsid w:val="0029787B"/>
    <w:rsid w:val="00297C63"/>
    <w:rsid w:val="002A2546"/>
    <w:rsid w:val="002A2E22"/>
    <w:rsid w:val="002A2FEC"/>
    <w:rsid w:val="002A326C"/>
    <w:rsid w:val="002A34CB"/>
    <w:rsid w:val="002A4A74"/>
    <w:rsid w:val="002A5CE7"/>
    <w:rsid w:val="002A6148"/>
    <w:rsid w:val="002A6194"/>
    <w:rsid w:val="002A6578"/>
    <w:rsid w:val="002A6B5E"/>
    <w:rsid w:val="002A719D"/>
    <w:rsid w:val="002A740A"/>
    <w:rsid w:val="002A7585"/>
    <w:rsid w:val="002A79C8"/>
    <w:rsid w:val="002B054D"/>
    <w:rsid w:val="002B0B2D"/>
    <w:rsid w:val="002B1071"/>
    <w:rsid w:val="002B1525"/>
    <w:rsid w:val="002B16A1"/>
    <w:rsid w:val="002B16AA"/>
    <w:rsid w:val="002B1915"/>
    <w:rsid w:val="002B1CA9"/>
    <w:rsid w:val="002B1D47"/>
    <w:rsid w:val="002B209F"/>
    <w:rsid w:val="002B2D4C"/>
    <w:rsid w:val="002B2F8E"/>
    <w:rsid w:val="002B4901"/>
    <w:rsid w:val="002B491C"/>
    <w:rsid w:val="002B554E"/>
    <w:rsid w:val="002B5ADF"/>
    <w:rsid w:val="002B6A4C"/>
    <w:rsid w:val="002B7079"/>
    <w:rsid w:val="002C0227"/>
    <w:rsid w:val="002C09CF"/>
    <w:rsid w:val="002C0DB2"/>
    <w:rsid w:val="002C1458"/>
    <w:rsid w:val="002C15C1"/>
    <w:rsid w:val="002C16F7"/>
    <w:rsid w:val="002C1ACC"/>
    <w:rsid w:val="002C1D4C"/>
    <w:rsid w:val="002C216E"/>
    <w:rsid w:val="002C2D8C"/>
    <w:rsid w:val="002C33D6"/>
    <w:rsid w:val="002C37E4"/>
    <w:rsid w:val="002C3D87"/>
    <w:rsid w:val="002C3DFE"/>
    <w:rsid w:val="002C418A"/>
    <w:rsid w:val="002C48AE"/>
    <w:rsid w:val="002C4942"/>
    <w:rsid w:val="002C5157"/>
    <w:rsid w:val="002C5228"/>
    <w:rsid w:val="002C5425"/>
    <w:rsid w:val="002C5DE3"/>
    <w:rsid w:val="002C666E"/>
    <w:rsid w:val="002C66D3"/>
    <w:rsid w:val="002C6E69"/>
    <w:rsid w:val="002C6FC0"/>
    <w:rsid w:val="002C7146"/>
    <w:rsid w:val="002C7231"/>
    <w:rsid w:val="002C75E0"/>
    <w:rsid w:val="002C76A7"/>
    <w:rsid w:val="002C7816"/>
    <w:rsid w:val="002D0D9E"/>
    <w:rsid w:val="002D10EA"/>
    <w:rsid w:val="002D2243"/>
    <w:rsid w:val="002D2324"/>
    <w:rsid w:val="002D4392"/>
    <w:rsid w:val="002D4556"/>
    <w:rsid w:val="002D4D6B"/>
    <w:rsid w:val="002D50A7"/>
    <w:rsid w:val="002D5E12"/>
    <w:rsid w:val="002D63A8"/>
    <w:rsid w:val="002D6412"/>
    <w:rsid w:val="002D6FA5"/>
    <w:rsid w:val="002E0621"/>
    <w:rsid w:val="002E067D"/>
    <w:rsid w:val="002E0BD1"/>
    <w:rsid w:val="002E19E0"/>
    <w:rsid w:val="002E1B72"/>
    <w:rsid w:val="002E1E88"/>
    <w:rsid w:val="002E2684"/>
    <w:rsid w:val="002E35ED"/>
    <w:rsid w:val="002E3734"/>
    <w:rsid w:val="002E386E"/>
    <w:rsid w:val="002E4FCA"/>
    <w:rsid w:val="002E505F"/>
    <w:rsid w:val="002E5A78"/>
    <w:rsid w:val="002E5A8E"/>
    <w:rsid w:val="002E5BC6"/>
    <w:rsid w:val="002E5E07"/>
    <w:rsid w:val="002E5EFD"/>
    <w:rsid w:val="002E6528"/>
    <w:rsid w:val="002E6D1D"/>
    <w:rsid w:val="002F09F8"/>
    <w:rsid w:val="002F0AD4"/>
    <w:rsid w:val="002F2C44"/>
    <w:rsid w:val="002F2F50"/>
    <w:rsid w:val="002F310C"/>
    <w:rsid w:val="002F36E7"/>
    <w:rsid w:val="002F3700"/>
    <w:rsid w:val="002F4219"/>
    <w:rsid w:val="002F458E"/>
    <w:rsid w:val="002F4EE9"/>
    <w:rsid w:val="002F50CA"/>
    <w:rsid w:val="002F69B3"/>
    <w:rsid w:val="002F7B66"/>
    <w:rsid w:val="0030063D"/>
    <w:rsid w:val="00301419"/>
    <w:rsid w:val="00301804"/>
    <w:rsid w:val="00301E28"/>
    <w:rsid w:val="00301E3B"/>
    <w:rsid w:val="003022FE"/>
    <w:rsid w:val="0030251F"/>
    <w:rsid w:val="00302BBA"/>
    <w:rsid w:val="00302F49"/>
    <w:rsid w:val="0030382F"/>
    <w:rsid w:val="0030397A"/>
    <w:rsid w:val="003045B8"/>
    <w:rsid w:val="00304C02"/>
    <w:rsid w:val="00304CFD"/>
    <w:rsid w:val="00304E92"/>
    <w:rsid w:val="00305597"/>
    <w:rsid w:val="003059FE"/>
    <w:rsid w:val="00305C9F"/>
    <w:rsid w:val="003067E5"/>
    <w:rsid w:val="003075D9"/>
    <w:rsid w:val="00310AFC"/>
    <w:rsid w:val="00310B3E"/>
    <w:rsid w:val="00310D32"/>
    <w:rsid w:val="00311596"/>
    <w:rsid w:val="00312018"/>
    <w:rsid w:val="00312323"/>
    <w:rsid w:val="00312CD8"/>
    <w:rsid w:val="003145FC"/>
    <w:rsid w:val="00314D5E"/>
    <w:rsid w:val="003151E0"/>
    <w:rsid w:val="0031592B"/>
    <w:rsid w:val="00315C09"/>
    <w:rsid w:val="00315DC6"/>
    <w:rsid w:val="0031655C"/>
    <w:rsid w:val="00316992"/>
    <w:rsid w:val="00316A60"/>
    <w:rsid w:val="003175FB"/>
    <w:rsid w:val="00317CD9"/>
    <w:rsid w:val="00317E60"/>
    <w:rsid w:val="00320208"/>
    <w:rsid w:val="003206F0"/>
    <w:rsid w:val="00321882"/>
    <w:rsid w:val="003219E0"/>
    <w:rsid w:val="00321E03"/>
    <w:rsid w:val="003228B1"/>
    <w:rsid w:val="00322F25"/>
    <w:rsid w:val="0032424E"/>
    <w:rsid w:val="00324311"/>
    <w:rsid w:val="0032473D"/>
    <w:rsid w:val="0032483C"/>
    <w:rsid w:val="00326079"/>
    <w:rsid w:val="003260D4"/>
    <w:rsid w:val="0032638E"/>
    <w:rsid w:val="0033184D"/>
    <w:rsid w:val="00331D03"/>
    <w:rsid w:val="003328AF"/>
    <w:rsid w:val="00332C15"/>
    <w:rsid w:val="0033306A"/>
    <w:rsid w:val="003333B7"/>
    <w:rsid w:val="00333643"/>
    <w:rsid w:val="003357DB"/>
    <w:rsid w:val="00335FD7"/>
    <w:rsid w:val="003362DB"/>
    <w:rsid w:val="0033668C"/>
    <w:rsid w:val="00336D1F"/>
    <w:rsid w:val="003376E6"/>
    <w:rsid w:val="003377C7"/>
    <w:rsid w:val="003406BC"/>
    <w:rsid w:val="00340AA2"/>
    <w:rsid w:val="00340FC0"/>
    <w:rsid w:val="0034195F"/>
    <w:rsid w:val="00341A4E"/>
    <w:rsid w:val="00342D6B"/>
    <w:rsid w:val="0034303D"/>
    <w:rsid w:val="00343D1C"/>
    <w:rsid w:val="0034425A"/>
    <w:rsid w:val="00344540"/>
    <w:rsid w:val="0034485D"/>
    <w:rsid w:val="00344C95"/>
    <w:rsid w:val="00344F81"/>
    <w:rsid w:val="00344FB3"/>
    <w:rsid w:val="0034630B"/>
    <w:rsid w:val="003465C2"/>
    <w:rsid w:val="00346D9D"/>
    <w:rsid w:val="003502C4"/>
    <w:rsid w:val="00350DB1"/>
    <w:rsid w:val="00350EE3"/>
    <w:rsid w:val="00351252"/>
    <w:rsid w:val="0035163A"/>
    <w:rsid w:val="003516E8"/>
    <w:rsid w:val="00351DFA"/>
    <w:rsid w:val="0035259F"/>
    <w:rsid w:val="003529CC"/>
    <w:rsid w:val="003530BF"/>
    <w:rsid w:val="00353F36"/>
    <w:rsid w:val="003552B7"/>
    <w:rsid w:val="00355A78"/>
    <w:rsid w:val="00355B3A"/>
    <w:rsid w:val="00355B97"/>
    <w:rsid w:val="00355D31"/>
    <w:rsid w:val="00355F44"/>
    <w:rsid w:val="003562F6"/>
    <w:rsid w:val="0035648C"/>
    <w:rsid w:val="003567A4"/>
    <w:rsid w:val="00356ED1"/>
    <w:rsid w:val="00357836"/>
    <w:rsid w:val="003579EC"/>
    <w:rsid w:val="00360155"/>
    <w:rsid w:val="003603A7"/>
    <w:rsid w:val="0036047B"/>
    <w:rsid w:val="00361AFC"/>
    <w:rsid w:val="003626DC"/>
    <w:rsid w:val="00362FB9"/>
    <w:rsid w:val="00363116"/>
    <w:rsid w:val="003634D5"/>
    <w:rsid w:val="0036396C"/>
    <w:rsid w:val="00363AF6"/>
    <w:rsid w:val="00363FD9"/>
    <w:rsid w:val="003643D1"/>
    <w:rsid w:val="003643DC"/>
    <w:rsid w:val="00364E8E"/>
    <w:rsid w:val="00364EA0"/>
    <w:rsid w:val="00365259"/>
    <w:rsid w:val="00365E81"/>
    <w:rsid w:val="00365EDE"/>
    <w:rsid w:val="003676D7"/>
    <w:rsid w:val="00367868"/>
    <w:rsid w:val="00367AE1"/>
    <w:rsid w:val="00370048"/>
    <w:rsid w:val="003701EB"/>
    <w:rsid w:val="0037060B"/>
    <w:rsid w:val="0037098D"/>
    <w:rsid w:val="0037105D"/>
    <w:rsid w:val="00371224"/>
    <w:rsid w:val="003716BB"/>
    <w:rsid w:val="003717D5"/>
    <w:rsid w:val="003720F7"/>
    <w:rsid w:val="003725A9"/>
    <w:rsid w:val="003729F9"/>
    <w:rsid w:val="00372AB4"/>
    <w:rsid w:val="00374B7D"/>
    <w:rsid w:val="00374BDA"/>
    <w:rsid w:val="003752CF"/>
    <w:rsid w:val="00375B3A"/>
    <w:rsid w:val="003764C8"/>
    <w:rsid w:val="00376670"/>
    <w:rsid w:val="00376741"/>
    <w:rsid w:val="00376BAC"/>
    <w:rsid w:val="00380634"/>
    <w:rsid w:val="0038099F"/>
    <w:rsid w:val="003813B0"/>
    <w:rsid w:val="003816E9"/>
    <w:rsid w:val="00381EDB"/>
    <w:rsid w:val="00382FD9"/>
    <w:rsid w:val="00383B8B"/>
    <w:rsid w:val="00383B97"/>
    <w:rsid w:val="00383FFD"/>
    <w:rsid w:val="00384ED0"/>
    <w:rsid w:val="003854C7"/>
    <w:rsid w:val="00385C4E"/>
    <w:rsid w:val="00385E2A"/>
    <w:rsid w:val="003861E9"/>
    <w:rsid w:val="00387597"/>
    <w:rsid w:val="003878F6"/>
    <w:rsid w:val="0039098B"/>
    <w:rsid w:val="003913A0"/>
    <w:rsid w:val="00392030"/>
    <w:rsid w:val="003922BC"/>
    <w:rsid w:val="003927B1"/>
    <w:rsid w:val="00392885"/>
    <w:rsid w:val="00392A9E"/>
    <w:rsid w:val="00394ABC"/>
    <w:rsid w:val="00394F58"/>
    <w:rsid w:val="00395525"/>
    <w:rsid w:val="00395C68"/>
    <w:rsid w:val="00395E73"/>
    <w:rsid w:val="00395FD2"/>
    <w:rsid w:val="0039616C"/>
    <w:rsid w:val="00396242"/>
    <w:rsid w:val="00396E1D"/>
    <w:rsid w:val="00397422"/>
    <w:rsid w:val="00397623"/>
    <w:rsid w:val="003976D3"/>
    <w:rsid w:val="003979BB"/>
    <w:rsid w:val="00397FB4"/>
    <w:rsid w:val="003A04E0"/>
    <w:rsid w:val="003A122F"/>
    <w:rsid w:val="003A12F9"/>
    <w:rsid w:val="003A15C9"/>
    <w:rsid w:val="003A1847"/>
    <w:rsid w:val="003A2109"/>
    <w:rsid w:val="003A2136"/>
    <w:rsid w:val="003A22AA"/>
    <w:rsid w:val="003A28FE"/>
    <w:rsid w:val="003A2D69"/>
    <w:rsid w:val="003A352F"/>
    <w:rsid w:val="003A46DE"/>
    <w:rsid w:val="003A4DE2"/>
    <w:rsid w:val="003A5536"/>
    <w:rsid w:val="003A5F57"/>
    <w:rsid w:val="003A607E"/>
    <w:rsid w:val="003A6204"/>
    <w:rsid w:val="003A6239"/>
    <w:rsid w:val="003A658D"/>
    <w:rsid w:val="003A66CA"/>
    <w:rsid w:val="003A68FC"/>
    <w:rsid w:val="003A7340"/>
    <w:rsid w:val="003A78D5"/>
    <w:rsid w:val="003A7A68"/>
    <w:rsid w:val="003B09DC"/>
    <w:rsid w:val="003B1F9D"/>
    <w:rsid w:val="003B23EC"/>
    <w:rsid w:val="003B27A7"/>
    <w:rsid w:val="003B2A6A"/>
    <w:rsid w:val="003B34F2"/>
    <w:rsid w:val="003B3AAE"/>
    <w:rsid w:val="003B3E6E"/>
    <w:rsid w:val="003B43E5"/>
    <w:rsid w:val="003B4BB2"/>
    <w:rsid w:val="003B4D47"/>
    <w:rsid w:val="003B4D6E"/>
    <w:rsid w:val="003B4F3C"/>
    <w:rsid w:val="003B5704"/>
    <w:rsid w:val="003B5A8D"/>
    <w:rsid w:val="003B5C45"/>
    <w:rsid w:val="003B5CCA"/>
    <w:rsid w:val="003B652F"/>
    <w:rsid w:val="003B70A8"/>
    <w:rsid w:val="003B75AE"/>
    <w:rsid w:val="003B7B77"/>
    <w:rsid w:val="003C0037"/>
    <w:rsid w:val="003C05C8"/>
    <w:rsid w:val="003C0C91"/>
    <w:rsid w:val="003C2562"/>
    <w:rsid w:val="003C31F1"/>
    <w:rsid w:val="003C3681"/>
    <w:rsid w:val="003C37A9"/>
    <w:rsid w:val="003C37EF"/>
    <w:rsid w:val="003C3959"/>
    <w:rsid w:val="003C4552"/>
    <w:rsid w:val="003C4650"/>
    <w:rsid w:val="003C4B1F"/>
    <w:rsid w:val="003C4C84"/>
    <w:rsid w:val="003C51EF"/>
    <w:rsid w:val="003C6886"/>
    <w:rsid w:val="003C6C1B"/>
    <w:rsid w:val="003C714F"/>
    <w:rsid w:val="003C76EC"/>
    <w:rsid w:val="003D0CB9"/>
    <w:rsid w:val="003D2140"/>
    <w:rsid w:val="003D2203"/>
    <w:rsid w:val="003D254D"/>
    <w:rsid w:val="003D2A50"/>
    <w:rsid w:val="003D2A59"/>
    <w:rsid w:val="003D3070"/>
    <w:rsid w:val="003D4035"/>
    <w:rsid w:val="003D52E5"/>
    <w:rsid w:val="003D71FB"/>
    <w:rsid w:val="003D7D82"/>
    <w:rsid w:val="003E050E"/>
    <w:rsid w:val="003E0D81"/>
    <w:rsid w:val="003E0F82"/>
    <w:rsid w:val="003E1065"/>
    <w:rsid w:val="003E122F"/>
    <w:rsid w:val="003E16D3"/>
    <w:rsid w:val="003E17D3"/>
    <w:rsid w:val="003E2403"/>
    <w:rsid w:val="003E2912"/>
    <w:rsid w:val="003E3A12"/>
    <w:rsid w:val="003E3DF6"/>
    <w:rsid w:val="003E3E1C"/>
    <w:rsid w:val="003E456C"/>
    <w:rsid w:val="003E6457"/>
    <w:rsid w:val="003E6A64"/>
    <w:rsid w:val="003E74B0"/>
    <w:rsid w:val="003F0452"/>
    <w:rsid w:val="003F052B"/>
    <w:rsid w:val="003F0714"/>
    <w:rsid w:val="003F0E99"/>
    <w:rsid w:val="003F182C"/>
    <w:rsid w:val="003F1A5B"/>
    <w:rsid w:val="003F1F31"/>
    <w:rsid w:val="003F2A08"/>
    <w:rsid w:val="003F3E51"/>
    <w:rsid w:val="003F4754"/>
    <w:rsid w:val="003F4E0C"/>
    <w:rsid w:val="003F5E59"/>
    <w:rsid w:val="003F61E2"/>
    <w:rsid w:val="003F6B4E"/>
    <w:rsid w:val="003F705A"/>
    <w:rsid w:val="003F77D7"/>
    <w:rsid w:val="00401BC9"/>
    <w:rsid w:val="00403044"/>
    <w:rsid w:val="0040311D"/>
    <w:rsid w:val="004039DA"/>
    <w:rsid w:val="00404083"/>
    <w:rsid w:val="0040454B"/>
    <w:rsid w:val="004054D1"/>
    <w:rsid w:val="00405960"/>
    <w:rsid w:val="00405AC3"/>
    <w:rsid w:val="00406442"/>
    <w:rsid w:val="00406842"/>
    <w:rsid w:val="00406A2E"/>
    <w:rsid w:val="00406BA5"/>
    <w:rsid w:val="00406C93"/>
    <w:rsid w:val="00406F87"/>
    <w:rsid w:val="00407676"/>
    <w:rsid w:val="00407C30"/>
    <w:rsid w:val="00407E43"/>
    <w:rsid w:val="00410033"/>
    <w:rsid w:val="00410095"/>
    <w:rsid w:val="0041026B"/>
    <w:rsid w:val="0041063F"/>
    <w:rsid w:val="00410878"/>
    <w:rsid w:val="00410BA2"/>
    <w:rsid w:val="00410D8B"/>
    <w:rsid w:val="00411640"/>
    <w:rsid w:val="00412BE3"/>
    <w:rsid w:val="00413088"/>
    <w:rsid w:val="00414113"/>
    <w:rsid w:val="00414933"/>
    <w:rsid w:val="00414D9E"/>
    <w:rsid w:val="00415CAC"/>
    <w:rsid w:val="00416117"/>
    <w:rsid w:val="00416C02"/>
    <w:rsid w:val="00416C78"/>
    <w:rsid w:val="00417634"/>
    <w:rsid w:val="00417CA1"/>
    <w:rsid w:val="00417F8D"/>
    <w:rsid w:val="00420424"/>
    <w:rsid w:val="00420B34"/>
    <w:rsid w:val="00420BF5"/>
    <w:rsid w:val="00420F31"/>
    <w:rsid w:val="00421424"/>
    <w:rsid w:val="00421579"/>
    <w:rsid w:val="004217BD"/>
    <w:rsid w:val="00421FE9"/>
    <w:rsid w:val="00422DC8"/>
    <w:rsid w:val="00423C72"/>
    <w:rsid w:val="004241D5"/>
    <w:rsid w:val="004259D0"/>
    <w:rsid w:val="0042606A"/>
    <w:rsid w:val="00426723"/>
    <w:rsid w:val="00427297"/>
    <w:rsid w:val="00427362"/>
    <w:rsid w:val="0043072B"/>
    <w:rsid w:val="00431C39"/>
    <w:rsid w:val="004320E9"/>
    <w:rsid w:val="004322F0"/>
    <w:rsid w:val="004326B8"/>
    <w:rsid w:val="0043270A"/>
    <w:rsid w:val="00432F5B"/>
    <w:rsid w:val="00433E4C"/>
    <w:rsid w:val="00433F38"/>
    <w:rsid w:val="00435161"/>
    <w:rsid w:val="00436133"/>
    <w:rsid w:val="004364D3"/>
    <w:rsid w:val="00437CE5"/>
    <w:rsid w:val="004405CC"/>
    <w:rsid w:val="00440976"/>
    <w:rsid w:val="004418BA"/>
    <w:rsid w:val="00442571"/>
    <w:rsid w:val="004425AD"/>
    <w:rsid w:val="00442B65"/>
    <w:rsid w:val="00442BC0"/>
    <w:rsid w:val="004435F8"/>
    <w:rsid w:val="00444179"/>
    <w:rsid w:val="004448EA"/>
    <w:rsid w:val="0044553A"/>
    <w:rsid w:val="004458D4"/>
    <w:rsid w:val="00445CFD"/>
    <w:rsid w:val="00445F6A"/>
    <w:rsid w:val="00446754"/>
    <w:rsid w:val="004469E8"/>
    <w:rsid w:val="00446BC7"/>
    <w:rsid w:val="00446C33"/>
    <w:rsid w:val="004477DF"/>
    <w:rsid w:val="00447FF4"/>
    <w:rsid w:val="00450B2F"/>
    <w:rsid w:val="00450C7F"/>
    <w:rsid w:val="00451407"/>
    <w:rsid w:val="004516A4"/>
    <w:rsid w:val="00452819"/>
    <w:rsid w:val="00453134"/>
    <w:rsid w:val="00453330"/>
    <w:rsid w:val="00454005"/>
    <w:rsid w:val="0045495A"/>
    <w:rsid w:val="00454B38"/>
    <w:rsid w:val="004579EF"/>
    <w:rsid w:val="0046020E"/>
    <w:rsid w:val="00460212"/>
    <w:rsid w:val="00460B4C"/>
    <w:rsid w:val="00460CF6"/>
    <w:rsid w:val="00460D97"/>
    <w:rsid w:val="004622A8"/>
    <w:rsid w:val="004623E8"/>
    <w:rsid w:val="00462DD9"/>
    <w:rsid w:val="00462ED1"/>
    <w:rsid w:val="00462F53"/>
    <w:rsid w:val="0046349D"/>
    <w:rsid w:val="00463BAF"/>
    <w:rsid w:val="00463F1E"/>
    <w:rsid w:val="00464170"/>
    <w:rsid w:val="004643C8"/>
    <w:rsid w:val="00464C23"/>
    <w:rsid w:val="004650EC"/>
    <w:rsid w:val="004652F5"/>
    <w:rsid w:val="004654D2"/>
    <w:rsid w:val="00465634"/>
    <w:rsid w:val="00465CD9"/>
    <w:rsid w:val="00465D49"/>
    <w:rsid w:val="00465FF7"/>
    <w:rsid w:val="00466CE8"/>
    <w:rsid w:val="004672C8"/>
    <w:rsid w:val="00467924"/>
    <w:rsid w:val="00467FB6"/>
    <w:rsid w:val="0047004C"/>
    <w:rsid w:val="00470A9D"/>
    <w:rsid w:val="00470F4B"/>
    <w:rsid w:val="0047115F"/>
    <w:rsid w:val="00471A30"/>
    <w:rsid w:val="00471C5E"/>
    <w:rsid w:val="004723D3"/>
    <w:rsid w:val="0047317B"/>
    <w:rsid w:val="0047328D"/>
    <w:rsid w:val="00473600"/>
    <w:rsid w:val="004737BD"/>
    <w:rsid w:val="00474B30"/>
    <w:rsid w:val="00474B32"/>
    <w:rsid w:val="00475188"/>
    <w:rsid w:val="004756F2"/>
    <w:rsid w:val="00477543"/>
    <w:rsid w:val="004778AC"/>
    <w:rsid w:val="004800A6"/>
    <w:rsid w:val="00480106"/>
    <w:rsid w:val="0048140A"/>
    <w:rsid w:val="00481985"/>
    <w:rsid w:val="00482A78"/>
    <w:rsid w:val="00482B95"/>
    <w:rsid w:val="00482F0C"/>
    <w:rsid w:val="00483204"/>
    <w:rsid w:val="00483E8E"/>
    <w:rsid w:val="0048440B"/>
    <w:rsid w:val="00484530"/>
    <w:rsid w:val="00486140"/>
    <w:rsid w:val="004865F9"/>
    <w:rsid w:val="00486B1C"/>
    <w:rsid w:val="00490BAF"/>
    <w:rsid w:val="00491048"/>
    <w:rsid w:val="004913B2"/>
    <w:rsid w:val="00491B91"/>
    <w:rsid w:val="00493641"/>
    <w:rsid w:val="00493EBE"/>
    <w:rsid w:val="00494201"/>
    <w:rsid w:val="004948D8"/>
    <w:rsid w:val="00494994"/>
    <w:rsid w:val="00494F6E"/>
    <w:rsid w:val="00495BFD"/>
    <w:rsid w:val="004963A9"/>
    <w:rsid w:val="00496793"/>
    <w:rsid w:val="00496C23"/>
    <w:rsid w:val="0049710E"/>
    <w:rsid w:val="004974C1"/>
    <w:rsid w:val="004975DE"/>
    <w:rsid w:val="004A0215"/>
    <w:rsid w:val="004A0768"/>
    <w:rsid w:val="004A0AD8"/>
    <w:rsid w:val="004A0B7A"/>
    <w:rsid w:val="004A0E60"/>
    <w:rsid w:val="004A21BE"/>
    <w:rsid w:val="004A2AC2"/>
    <w:rsid w:val="004A2E80"/>
    <w:rsid w:val="004A399F"/>
    <w:rsid w:val="004A3D4C"/>
    <w:rsid w:val="004A42C9"/>
    <w:rsid w:val="004A49A2"/>
    <w:rsid w:val="004A56FA"/>
    <w:rsid w:val="004A59DB"/>
    <w:rsid w:val="004A5C43"/>
    <w:rsid w:val="004A6588"/>
    <w:rsid w:val="004A66E7"/>
    <w:rsid w:val="004A6731"/>
    <w:rsid w:val="004A6836"/>
    <w:rsid w:val="004A6E10"/>
    <w:rsid w:val="004A6FE7"/>
    <w:rsid w:val="004B003A"/>
    <w:rsid w:val="004B13FF"/>
    <w:rsid w:val="004B19E4"/>
    <w:rsid w:val="004B1A02"/>
    <w:rsid w:val="004B2CA9"/>
    <w:rsid w:val="004B306D"/>
    <w:rsid w:val="004B32C8"/>
    <w:rsid w:val="004B4646"/>
    <w:rsid w:val="004B46F1"/>
    <w:rsid w:val="004B536D"/>
    <w:rsid w:val="004B5648"/>
    <w:rsid w:val="004B62D2"/>
    <w:rsid w:val="004B7755"/>
    <w:rsid w:val="004B7760"/>
    <w:rsid w:val="004B7CDE"/>
    <w:rsid w:val="004B7D39"/>
    <w:rsid w:val="004C1BB8"/>
    <w:rsid w:val="004C2596"/>
    <w:rsid w:val="004C3A11"/>
    <w:rsid w:val="004C4009"/>
    <w:rsid w:val="004C4A8D"/>
    <w:rsid w:val="004C6428"/>
    <w:rsid w:val="004C6711"/>
    <w:rsid w:val="004C7643"/>
    <w:rsid w:val="004C7BA9"/>
    <w:rsid w:val="004D031B"/>
    <w:rsid w:val="004D07C0"/>
    <w:rsid w:val="004D0D5F"/>
    <w:rsid w:val="004D1D6C"/>
    <w:rsid w:val="004D2465"/>
    <w:rsid w:val="004D2A77"/>
    <w:rsid w:val="004D313B"/>
    <w:rsid w:val="004D443E"/>
    <w:rsid w:val="004D4A5F"/>
    <w:rsid w:val="004D4EC6"/>
    <w:rsid w:val="004D4EEB"/>
    <w:rsid w:val="004D5450"/>
    <w:rsid w:val="004D591E"/>
    <w:rsid w:val="004D5BBF"/>
    <w:rsid w:val="004D75B0"/>
    <w:rsid w:val="004D7831"/>
    <w:rsid w:val="004E11FE"/>
    <w:rsid w:val="004E16BB"/>
    <w:rsid w:val="004E2687"/>
    <w:rsid w:val="004E271E"/>
    <w:rsid w:val="004E2ED0"/>
    <w:rsid w:val="004E4080"/>
    <w:rsid w:val="004E47F7"/>
    <w:rsid w:val="004E4AB4"/>
    <w:rsid w:val="004E4CD6"/>
    <w:rsid w:val="004E4DE6"/>
    <w:rsid w:val="004E52C4"/>
    <w:rsid w:val="004E5ED0"/>
    <w:rsid w:val="004E666D"/>
    <w:rsid w:val="004E68BA"/>
    <w:rsid w:val="004E7624"/>
    <w:rsid w:val="004F0B89"/>
    <w:rsid w:val="004F15FC"/>
    <w:rsid w:val="004F19B6"/>
    <w:rsid w:val="004F27B4"/>
    <w:rsid w:val="004F293F"/>
    <w:rsid w:val="004F368A"/>
    <w:rsid w:val="004F3F3B"/>
    <w:rsid w:val="004F52B1"/>
    <w:rsid w:val="004F5861"/>
    <w:rsid w:val="004F5A88"/>
    <w:rsid w:val="004F5B61"/>
    <w:rsid w:val="004F6DC7"/>
    <w:rsid w:val="004F70AD"/>
    <w:rsid w:val="004F7286"/>
    <w:rsid w:val="004F7603"/>
    <w:rsid w:val="004F772D"/>
    <w:rsid w:val="004F7803"/>
    <w:rsid w:val="004F7E41"/>
    <w:rsid w:val="00500963"/>
    <w:rsid w:val="00500D5B"/>
    <w:rsid w:val="00500E02"/>
    <w:rsid w:val="00500F64"/>
    <w:rsid w:val="005020D3"/>
    <w:rsid w:val="0050222E"/>
    <w:rsid w:val="00503304"/>
    <w:rsid w:val="005034F6"/>
    <w:rsid w:val="00503C59"/>
    <w:rsid w:val="005045DB"/>
    <w:rsid w:val="0050539D"/>
    <w:rsid w:val="005061A1"/>
    <w:rsid w:val="00506658"/>
    <w:rsid w:val="0050675F"/>
    <w:rsid w:val="0050680D"/>
    <w:rsid w:val="0050686B"/>
    <w:rsid w:val="00506BA5"/>
    <w:rsid w:val="00506BBF"/>
    <w:rsid w:val="005072EA"/>
    <w:rsid w:val="005112E0"/>
    <w:rsid w:val="0051170A"/>
    <w:rsid w:val="00511CF1"/>
    <w:rsid w:val="00511F84"/>
    <w:rsid w:val="00512784"/>
    <w:rsid w:val="00512B6F"/>
    <w:rsid w:val="00513000"/>
    <w:rsid w:val="00513A3B"/>
    <w:rsid w:val="00513D48"/>
    <w:rsid w:val="005144D7"/>
    <w:rsid w:val="00514542"/>
    <w:rsid w:val="00516356"/>
    <w:rsid w:val="00516DA2"/>
    <w:rsid w:val="00516E27"/>
    <w:rsid w:val="00516EFF"/>
    <w:rsid w:val="0051722F"/>
    <w:rsid w:val="005175E4"/>
    <w:rsid w:val="005177A4"/>
    <w:rsid w:val="00517CB6"/>
    <w:rsid w:val="00517E6F"/>
    <w:rsid w:val="005200CD"/>
    <w:rsid w:val="005202BC"/>
    <w:rsid w:val="005203FF"/>
    <w:rsid w:val="005204AE"/>
    <w:rsid w:val="00520CC4"/>
    <w:rsid w:val="00522128"/>
    <w:rsid w:val="005233D3"/>
    <w:rsid w:val="00523DA5"/>
    <w:rsid w:val="005277C5"/>
    <w:rsid w:val="00527E24"/>
    <w:rsid w:val="005302DC"/>
    <w:rsid w:val="00530374"/>
    <w:rsid w:val="00531C30"/>
    <w:rsid w:val="00531FFE"/>
    <w:rsid w:val="00532062"/>
    <w:rsid w:val="0053241D"/>
    <w:rsid w:val="005331CC"/>
    <w:rsid w:val="00533237"/>
    <w:rsid w:val="00533398"/>
    <w:rsid w:val="005339B8"/>
    <w:rsid w:val="00533BB9"/>
    <w:rsid w:val="00533E01"/>
    <w:rsid w:val="00534433"/>
    <w:rsid w:val="0053470F"/>
    <w:rsid w:val="005349E3"/>
    <w:rsid w:val="00534B7B"/>
    <w:rsid w:val="005355AF"/>
    <w:rsid w:val="0053591F"/>
    <w:rsid w:val="00535C71"/>
    <w:rsid w:val="0053662C"/>
    <w:rsid w:val="00536D17"/>
    <w:rsid w:val="005374E8"/>
    <w:rsid w:val="0053798C"/>
    <w:rsid w:val="00540133"/>
    <w:rsid w:val="00540229"/>
    <w:rsid w:val="00540359"/>
    <w:rsid w:val="00540DAF"/>
    <w:rsid w:val="00541475"/>
    <w:rsid w:val="005415B9"/>
    <w:rsid w:val="00542378"/>
    <w:rsid w:val="00542EF1"/>
    <w:rsid w:val="005436F8"/>
    <w:rsid w:val="005454D7"/>
    <w:rsid w:val="005455E1"/>
    <w:rsid w:val="0054567E"/>
    <w:rsid w:val="00546309"/>
    <w:rsid w:val="00546330"/>
    <w:rsid w:val="0054750F"/>
    <w:rsid w:val="0055069E"/>
    <w:rsid w:val="005506D0"/>
    <w:rsid w:val="00550716"/>
    <w:rsid w:val="0055072D"/>
    <w:rsid w:val="00550B3F"/>
    <w:rsid w:val="005511FE"/>
    <w:rsid w:val="00551925"/>
    <w:rsid w:val="00551BA2"/>
    <w:rsid w:val="00551EAF"/>
    <w:rsid w:val="005520E8"/>
    <w:rsid w:val="00553931"/>
    <w:rsid w:val="00554DD8"/>
    <w:rsid w:val="00554EBD"/>
    <w:rsid w:val="005552C1"/>
    <w:rsid w:val="00555590"/>
    <w:rsid w:val="0055561F"/>
    <w:rsid w:val="005557A2"/>
    <w:rsid w:val="00555BA9"/>
    <w:rsid w:val="00555CE9"/>
    <w:rsid w:val="00555D3C"/>
    <w:rsid w:val="005571A8"/>
    <w:rsid w:val="0055758C"/>
    <w:rsid w:val="00557A11"/>
    <w:rsid w:val="00557C1B"/>
    <w:rsid w:val="00557E74"/>
    <w:rsid w:val="005600EF"/>
    <w:rsid w:val="00560488"/>
    <w:rsid w:val="00560E77"/>
    <w:rsid w:val="00561FDE"/>
    <w:rsid w:val="0056213C"/>
    <w:rsid w:val="00563A91"/>
    <w:rsid w:val="00563E0E"/>
    <w:rsid w:val="005640DF"/>
    <w:rsid w:val="005649E9"/>
    <w:rsid w:val="005651AA"/>
    <w:rsid w:val="00565F6B"/>
    <w:rsid w:val="00566A54"/>
    <w:rsid w:val="00566B11"/>
    <w:rsid w:val="0056744C"/>
    <w:rsid w:val="00570ACC"/>
    <w:rsid w:val="005712BB"/>
    <w:rsid w:val="00571477"/>
    <w:rsid w:val="0057196B"/>
    <w:rsid w:val="00571DBF"/>
    <w:rsid w:val="00571DCD"/>
    <w:rsid w:val="0057293D"/>
    <w:rsid w:val="00572AFD"/>
    <w:rsid w:val="0057397F"/>
    <w:rsid w:val="00573B15"/>
    <w:rsid w:val="00573D95"/>
    <w:rsid w:val="00573E19"/>
    <w:rsid w:val="00574705"/>
    <w:rsid w:val="00575CDF"/>
    <w:rsid w:val="00575EC0"/>
    <w:rsid w:val="00576686"/>
    <w:rsid w:val="005766C9"/>
    <w:rsid w:val="00577131"/>
    <w:rsid w:val="005776E8"/>
    <w:rsid w:val="0057799D"/>
    <w:rsid w:val="005807C9"/>
    <w:rsid w:val="00580E35"/>
    <w:rsid w:val="00581566"/>
    <w:rsid w:val="00581AB3"/>
    <w:rsid w:val="00582BAE"/>
    <w:rsid w:val="00582EBC"/>
    <w:rsid w:val="00582F9E"/>
    <w:rsid w:val="005838BB"/>
    <w:rsid w:val="00583FAF"/>
    <w:rsid w:val="005842FA"/>
    <w:rsid w:val="00585EF4"/>
    <w:rsid w:val="00585FFA"/>
    <w:rsid w:val="00586F07"/>
    <w:rsid w:val="0058707B"/>
    <w:rsid w:val="005870AB"/>
    <w:rsid w:val="00587BDE"/>
    <w:rsid w:val="00587CE9"/>
    <w:rsid w:val="00587D8B"/>
    <w:rsid w:val="00587E90"/>
    <w:rsid w:val="0059001F"/>
    <w:rsid w:val="005906E2"/>
    <w:rsid w:val="00590768"/>
    <w:rsid w:val="00591437"/>
    <w:rsid w:val="0059194F"/>
    <w:rsid w:val="00591DFD"/>
    <w:rsid w:val="00592AE0"/>
    <w:rsid w:val="00593438"/>
    <w:rsid w:val="005934BA"/>
    <w:rsid w:val="00593A23"/>
    <w:rsid w:val="00593B2D"/>
    <w:rsid w:val="00593DB1"/>
    <w:rsid w:val="00594DA6"/>
    <w:rsid w:val="00594DC8"/>
    <w:rsid w:val="00595346"/>
    <w:rsid w:val="00595FE8"/>
    <w:rsid w:val="005968DC"/>
    <w:rsid w:val="00596DB7"/>
    <w:rsid w:val="0059740A"/>
    <w:rsid w:val="00597491"/>
    <w:rsid w:val="005974EA"/>
    <w:rsid w:val="005974ED"/>
    <w:rsid w:val="00597D4E"/>
    <w:rsid w:val="005A166A"/>
    <w:rsid w:val="005A2110"/>
    <w:rsid w:val="005A28B5"/>
    <w:rsid w:val="005A3DB2"/>
    <w:rsid w:val="005A3E24"/>
    <w:rsid w:val="005A4E15"/>
    <w:rsid w:val="005A5F7C"/>
    <w:rsid w:val="005A67E7"/>
    <w:rsid w:val="005A6C61"/>
    <w:rsid w:val="005A7089"/>
    <w:rsid w:val="005B011F"/>
    <w:rsid w:val="005B037C"/>
    <w:rsid w:val="005B0570"/>
    <w:rsid w:val="005B0B18"/>
    <w:rsid w:val="005B1E1D"/>
    <w:rsid w:val="005B25D2"/>
    <w:rsid w:val="005B2E3E"/>
    <w:rsid w:val="005B3A7E"/>
    <w:rsid w:val="005B3AC2"/>
    <w:rsid w:val="005B4A08"/>
    <w:rsid w:val="005B4F77"/>
    <w:rsid w:val="005B504D"/>
    <w:rsid w:val="005B53E6"/>
    <w:rsid w:val="005B54FE"/>
    <w:rsid w:val="005B6D4F"/>
    <w:rsid w:val="005B6FCC"/>
    <w:rsid w:val="005B742A"/>
    <w:rsid w:val="005C0046"/>
    <w:rsid w:val="005C0768"/>
    <w:rsid w:val="005C12B1"/>
    <w:rsid w:val="005C139B"/>
    <w:rsid w:val="005C1D6F"/>
    <w:rsid w:val="005C24C1"/>
    <w:rsid w:val="005C300C"/>
    <w:rsid w:val="005C43D7"/>
    <w:rsid w:val="005C519D"/>
    <w:rsid w:val="005C567B"/>
    <w:rsid w:val="005C7B04"/>
    <w:rsid w:val="005D0D81"/>
    <w:rsid w:val="005D115B"/>
    <w:rsid w:val="005D1222"/>
    <w:rsid w:val="005D1256"/>
    <w:rsid w:val="005D1897"/>
    <w:rsid w:val="005D19FC"/>
    <w:rsid w:val="005D1F02"/>
    <w:rsid w:val="005D2417"/>
    <w:rsid w:val="005D2758"/>
    <w:rsid w:val="005D27F8"/>
    <w:rsid w:val="005D2F82"/>
    <w:rsid w:val="005D3B9A"/>
    <w:rsid w:val="005D4111"/>
    <w:rsid w:val="005D57B9"/>
    <w:rsid w:val="005D5AE6"/>
    <w:rsid w:val="005D6883"/>
    <w:rsid w:val="005D70BC"/>
    <w:rsid w:val="005D79BB"/>
    <w:rsid w:val="005D7A09"/>
    <w:rsid w:val="005E10AA"/>
    <w:rsid w:val="005E1B86"/>
    <w:rsid w:val="005E28F6"/>
    <w:rsid w:val="005E2AD0"/>
    <w:rsid w:val="005E2F92"/>
    <w:rsid w:val="005E3433"/>
    <w:rsid w:val="005E380F"/>
    <w:rsid w:val="005E3DE8"/>
    <w:rsid w:val="005E4A5D"/>
    <w:rsid w:val="005E4D54"/>
    <w:rsid w:val="005E5353"/>
    <w:rsid w:val="005E5505"/>
    <w:rsid w:val="005E5732"/>
    <w:rsid w:val="005E657A"/>
    <w:rsid w:val="005E749B"/>
    <w:rsid w:val="005E75F4"/>
    <w:rsid w:val="005E77CB"/>
    <w:rsid w:val="005F0393"/>
    <w:rsid w:val="005F04A4"/>
    <w:rsid w:val="005F1CE0"/>
    <w:rsid w:val="005F269A"/>
    <w:rsid w:val="005F29C4"/>
    <w:rsid w:val="005F2F92"/>
    <w:rsid w:val="005F331B"/>
    <w:rsid w:val="005F33E1"/>
    <w:rsid w:val="005F3C58"/>
    <w:rsid w:val="005F3CFE"/>
    <w:rsid w:val="005F4434"/>
    <w:rsid w:val="005F61F2"/>
    <w:rsid w:val="005F6E58"/>
    <w:rsid w:val="005F71D4"/>
    <w:rsid w:val="005F7FBA"/>
    <w:rsid w:val="006007F8"/>
    <w:rsid w:val="00601DAC"/>
    <w:rsid w:val="00603FA5"/>
    <w:rsid w:val="00604031"/>
    <w:rsid w:val="006046B3"/>
    <w:rsid w:val="00605A8A"/>
    <w:rsid w:val="00606520"/>
    <w:rsid w:val="00606C2C"/>
    <w:rsid w:val="00606C34"/>
    <w:rsid w:val="00606CDC"/>
    <w:rsid w:val="00607200"/>
    <w:rsid w:val="00607C3A"/>
    <w:rsid w:val="006102EB"/>
    <w:rsid w:val="006106F0"/>
    <w:rsid w:val="00610911"/>
    <w:rsid w:val="00611610"/>
    <w:rsid w:val="00611638"/>
    <w:rsid w:val="00611BAA"/>
    <w:rsid w:val="00611CC9"/>
    <w:rsid w:val="0061257A"/>
    <w:rsid w:val="00612B78"/>
    <w:rsid w:val="00613524"/>
    <w:rsid w:val="00614800"/>
    <w:rsid w:val="00615629"/>
    <w:rsid w:val="00615774"/>
    <w:rsid w:val="00615C97"/>
    <w:rsid w:val="006166ED"/>
    <w:rsid w:val="006167EF"/>
    <w:rsid w:val="00616FA6"/>
    <w:rsid w:val="00617975"/>
    <w:rsid w:val="006203D1"/>
    <w:rsid w:val="00620634"/>
    <w:rsid w:val="00621C63"/>
    <w:rsid w:val="00621D85"/>
    <w:rsid w:val="00622679"/>
    <w:rsid w:val="006231D4"/>
    <w:rsid w:val="00623A7B"/>
    <w:rsid w:val="00623AF9"/>
    <w:rsid w:val="00623C59"/>
    <w:rsid w:val="00623E20"/>
    <w:rsid w:val="00625BA2"/>
    <w:rsid w:val="00625E05"/>
    <w:rsid w:val="00626B88"/>
    <w:rsid w:val="00626D7B"/>
    <w:rsid w:val="00627AF0"/>
    <w:rsid w:val="00630530"/>
    <w:rsid w:val="006308BE"/>
    <w:rsid w:val="00630B99"/>
    <w:rsid w:val="00630F53"/>
    <w:rsid w:val="0063105D"/>
    <w:rsid w:val="00632245"/>
    <w:rsid w:val="006322C0"/>
    <w:rsid w:val="006329AD"/>
    <w:rsid w:val="006338B1"/>
    <w:rsid w:val="00633F43"/>
    <w:rsid w:val="00635527"/>
    <w:rsid w:val="00635684"/>
    <w:rsid w:val="00635B46"/>
    <w:rsid w:val="00635CB5"/>
    <w:rsid w:val="006364A5"/>
    <w:rsid w:val="0063650E"/>
    <w:rsid w:val="00636A08"/>
    <w:rsid w:val="00637632"/>
    <w:rsid w:val="00637B29"/>
    <w:rsid w:val="00637F24"/>
    <w:rsid w:val="00637F30"/>
    <w:rsid w:val="0064028D"/>
    <w:rsid w:val="00640355"/>
    <w:rsid w:val="00640598"/>
    <w:rsid w:val="00640991"/>
    <w:rsid w:val="00641325"/>
    <w:rsid w:val="006415FA"/>
    <w:rsid w:val="006419E9"/>
    <w:rsid w:val="00641E11"/>
    <w:rsid w:val="00643462"/>
    <w:rsid w:val="00643BFF"/>
    <w:rsid w:val="006451EA"/>
    <w:rsid w:val="006457F8"/>
    <w:rsid w:val="0064587F"/>
    <w:rsid w:val="0064747E"/>
    <w:rsid w:val="00647EB8"/>
    <w:rsid w:val="00650874"/>
    <w:rsid w:val="00650AE5"/>
    <w:rsid w:val="00650F49"/>
    <w:rsid w:val="0065114D"/>
    <w:rsid w:val="00652E32"/>
    <w:rsid w:val="00652F63"/>
    <w:rsid w:val="006538D2"/>
    <w:rsid w:val="00653A05"/>
    <w:rsid w:val="00654268"/>
    <w:rsid w:val="00654C0B"/>
    <w:rsid w:val="006550E2"/>
    <w:rsid w:val="006554EB"/>
    <w:rsid w:val="00655C82"/>
    <w:rsid w:val="00656EBF"/>
    <w:rsid w:val="006576A1"/>
    <w:rsid w:val="0066020D"/>
    <w:rsid w:val="00661A4E"/>
    <w:rsid w:val="00661B5B"/>
    <w:rsid w:val="00661B5D"/>
    <w:rsid w:val="00662523"/>
    <w:rsid w:val="00662A19"/>
    <w:rsid w:val="00662E6E"/>
    <w:rsid w:val="0066398A"/>
    <w:rsid w:val="00663BAE"/>
    <w:rsid w:val="00664960"/>
    <w:rsid w:val="00664993"/>
    <w:rsid w:val="00664CF1"/>
    <w:rsid w:val="006650C1"/>
    <w:rsid w:val="00665251"/>
    <w:rsid w:val="0066543E"/>
    <w:rsid w:val="00665D70"/>
    <w:rsid w:val="00665D97"/>
    <w:rsid w:val="006669E0"/>
    <w:rsid w:val="006679F9"/>
    <w:rsid w:val="00671931"/>
    <w:rsid w:val="0067235B"/>
    <w:rsid w:val="006724E0"/>
    <w:rsid w:val="006728BB"/>
    <w:rsid w:val="00672DDF"/>
    <w:rsid w:val="006732C2"/>
    <w:rsid w:val="006737CA"/>
    <w:rsid w:val="006752A5"/>
    <w:rsid w:val="00675B34"/>
    <w:rsid w:val="00675C02"/>
    <w:rsid w:val="0067645D"/>
    <w:rsid w:val="0067690F"/>
    <w:rsid w:val="00676C9B"/>
    <w:rsid w:val="00676F13"/>
    <w:rsid w:val="0067760F"/>
    <w:rsid w:val="006776B3"/>
    <w:rsid w:val="0067780E"/>
    <w:rsid w:val="00680FCF"/>
    <w:rsid w:val="006811E0"/>
    <w:rsid w:val="00681345"/>
    <w:rsid w:val="00681399"/>
    <w:rsid w:val="00681925"/>
    <w:rsid w:val="0068215C"/>
    <w:rsid w:val="006824E8"/>
    <w:rsid w:val="00682B7A"/>
    <w:rsid w:val="00682BAF"/>
    <w:rsid w:val="00682E3F"/>
    <w:rsid w:val="006837C6"/>
    <w:rsid w:val="00684F57"/>
    <w:rsid w:val="00686028"/>
    <w:rsid w:val="00687445"/>
    <w:rsid w:val="00692329"/>
    <w:rsid w:val="006923A3"/>
    <w:rsid w:val="006929B4"/>
    <w:rsid w:val="00692FAC"/>
    <w:rsid w:val="00693C59"/>
    <w:rsid w:val="00694563"/>
    <w:rsid w:val="00694756"/>
    <w:rsid w:val="0069489B"/>
    <w:rsid w:val="006948A6"/>
    <w:rsid w:val="00694D09"/>
    <w:rsid w:val="00694FCC"/>
    <w:rsid w:val="00696036"/>
    <w:rsid w:val="00697089"/>
    <w:rsid w:val="006973C4"/>
    <w:rsid w:val="006978DB"/>
    <w:rsid w:val="00697DDA"/>
    <w:rsid w:val="006A00C4"/>
    <w:rsid w:val="006A129B"/>
    <w:rsid w:val="006A1493"/>
    <w:rsid w:val="006A1A71"/>
    <w:rsid w:val="006A1D4A"/>
    <w:rsid w:val="006A1E77"/>
    <w:rsid w:val="006A2760"/>
    <w:rsid w:val="006A2A3A"/>
    <w:rsid w:val="006A2B24"/>
    <w:rsid w:val="006A3042"/>
    <w:rsid w:val="006A42C5"/>
    <w:rsid w:val="006A4E81"/>
    <w:rsid w:val="006A51C0"/>
    <w:rsid w:val="006A58E6"/>
    <w:rsid w:val="006A620D"/>
    <w:rsid w:val="006A6908"/>
    <w:rsid w:val="006A6E4C"/>
    <w:rsid w:val="006A6EA7"/>
    <w:rsid w:val="006A6F08"/>
    <w:rsid w:val="006A7F47"/>
    <w:rsid w:val="006B0E3B"/>
    <w:rsid w:val="006B1C84"/>
    <w:rsid w:val="006B1EA9"/>
    <w:rsid w:val="006B2CFC"/>
    <w:rsid w:val="006B2F93"/>
    <w:rsid w:val="006B49B2"/>
    <w:rsid w:val="006B4E88"/>
    <w:rsid w:val="006B4F5C"/>
    <w:rsid w:val="006B4FA5"/>
    <w:rsid w:val="006B5634"/>
    <w:rsid w:val="006B635F"/>
    <w:rsid w:val="006B7D93"/>
    <w:rsid w:val="006C1CF6"/>
    <w:rsid w:val="006C2618"/>
    <w:rsid w:val="006C3335"/>
    <w:rsid w:val="006C3957"/>
    <w:rsid w:val="006C44B0"/>
    <w:rsid w:val="006C458B"/>
    <w:rsid w:val="006C4F40"/>
    <w:rsid w:val="006C50AE"/>
    <w:rsid w:val="006C5431"/>
    <w:rsid w:val="006D0291"/>
    <w:rsid w:val="006D106E"/>
    <w:rsid w:val="006D11A4"/>
    <w:rsid w:val="006D1916"/>
    <w:rsid w:val="006D300A"/>
    <w:rsid w:val="006D3142"/>
    <w:rsid w:val="006D3454"/>
    <w:rsid w:val="006D35E4"/>
    <w:rsid w:val="006D442B"/>
    <w:rsid w:val="006D4FD0"/>
    <w:rsid w:val="006D5137"/>
    <w:rsid w:val="006D6A87"/>
    <w:rsid w:val="006D6EEE"/>
    <w:rsid w:val="006D7115"/>
    <w:rsid w:val="006D73A7"/>
    <w:rsid w:val="006D78DF"/>
    <w:rsid w:val="006D792E"/>
    <w:rsid w:val="006E02D0"/>
    <w:rsid w:val="006E0597"/>
    <w:rsid w:val="006E0856"/>
    <w:rsid w:val="006E0AAC"/>
    <w:rsid w:val="006E119A"/>
    <w:rsid w:val="006E1B90"/>
    <w:rsid w:val="006E2888"/>
    <w:rsid w:val="006E3007"/>
    <w:rsid w:val="006E31F7"/>
    <w:rsid w:val="006E363C"/>
    <w:rsid w:val="006E3FE7"/>
    <w:rsid w:val="006E45A7"/>
    <w:rsid w:val="006E6180"/>
    <w:rsid w:val="006E6576"/>
    <w:rsid w:val="006E6971"/>
    <w:rsid w:val="006E75F1"/>
    <w:rsid w:val="006E79B5"/>
    <w:rsid w:val="006F0ACC"/>
    <w:rsid w:val="006F162B"/>
    <w:rsid w:val="006F1A64"/>
    <w:rsid w:val="006F1ABB"/>
    <w:rsid w:val="006F262B"/>
    <w:rsid w:val="006F3924"/>
    <w:rsid w:val="006F3D88"/>
    <w:rsid w:val="006F4582"/>
    <w:rsid w:val="006F4D16"/>
    <w:rsid w:val="006F5A1D"/>
    <w:rsid w:val="006F5E30"/>
    <w:rsid w:val="006F6095"/>
    <w:rsid w:val="006F61FF"/>
    <w:rsid w:val="006F6BA1"/>
    <w:rsid w:val="006F725D"/>
    <w:rsid w:val="006F741D"/>
    <w:rsid w:val="0070011C"/>
    <w:rsid w:val="00700C2A"/>
    <w:rsid w:val="00700C4E"/>
    <w:rsid w:val="00700CAA"/>
    <w:rsid w:val="00701010"/>
    <w:rsid w:val="007011DA"/>
    <w:rsid w:val="00701899"/>
    <w:rsid w:val="0070204E"/>
    <w:rsid w:val="00702217"/>
    <w:rsid w:val="00702844"/>
    <w:rsid w:val="0070330F"/>
    <w:rsid w:val="00704A92"/>
    <w:rsid w:val="00704D96"/>
    <w:rsid w:val="007056A6"/>
    <w:rsid w:val="00706181"/>
    <w:rsid w:val="00706614"/>
    <w:rsid w:val="0070673C"/>
    <w:rsid w:val="00706B3A"/>
    <w:rsid w:val="00706F40"/>
    <w:rsid w:val="00707062"/>
    <w:rsid w:val="00707917"/>
    <w:rsid w:val="00707C32"/>
    <w:rsid w:val="00710268"/>
    <w:rsid w:val="0071079F"/>
    <w:rsid w:val="00711196"/>
    <w:rsid w:val="007115FA"/>
    <w:rsid w:val="00711F11"/>
    <w:rsid w:val="00712522"/>
    <w:rsid w:val="007126DA"/>
    <w:rsid w:val="00712E48"/>
    <w:rsid w:val="007131C2"/>
    <w:rsid w:val="00713298"/>
    <w:rsid w:val="00714312"/>
    <w:rsid w:val="0071450D"/>
    <w:rsid w:val="0071556F"/>
    <w:rsid w:val="00715672"/>
    <w:rsid w:val="00716726"/>
    <w:rsid w:val="00716925"/>
    <w:rsid w:val="0071732D"/>
    <w:rsid w:val="00717BDC"/>
    <w:rsid w:val="00717C4A"/>
    <w:rsid w:val="00717E3E"/>
    <w:rsid w:val="00717E41"/>
    <w:rsid w:val="00717F7A"/>
    <w:rsid w:val="00720270"/>
    <w:rsid w:val="0072073C"/>
    <w:rsid w:val="00720C07"/>
    <w:rsid w:val="00720DB1"/>
    <w:rsid w:val="00720FAB"/>
    <w:rsid w:val="0072175E"/>
    <w:rsid w:val="00721AFF"/>
    <w:rsid w:val="00721B68"/>
    <w:rsid w:val="00721D1C"/>
    <w:rsid w:val="00722FBA"/>
    <w:rsid w:val="007238F5"/>
    <w:rsid w:val="00723B14"/>
    <w:rsid w:val="00726F15"/>
    <w:rsid w:val="00727CD9"/>
    <w:rsid w:val="0073093E"/>
    <w:rsid w:val="007315C8"/>
    <w:rsid w:val="007317A9"/>
    <w:rsid w:val="00731B15"/>
    <w:rsid w:val="007325BF"/>
    <w:rsid w:val="00732A4F"/>
    <w:rsid w:val="00733543"/>
    <w:rsid w:val="00733951"/>
    <w:rsid w:val="0073396F"/>
    <w:rsid w:val="007339C3"/>
    <w:rsid w:val="00733FD4"/>
    <w:rsid w:val="007341D9"/>
    <w:rsid w:val="00734804"/>
    <w:rsid w:val="00734CC6"/>
    <w:rsid w:val="00734D86"/>
    <w:rsid w:val="00734F56"/>
    <w:rsid w:val="0073556D"/>
    <w:rsid w:val="007368F0"/>
    <w:rsid w:val="00736ECF"/>
    <w:rsid w:val="00736FF8"/>
    <w:rsid w:val="007373E6"/>
    <w:rsid w:val="007377DB"/>
    <w:rsid w:val="00737D80"/>
    <w:rsid w:val="00740308"/>
    <w:rsid w:val="007405AA"/>
    <w:rsid w:val="007407FB"/>
    <w:rsid w:val="007413BC"/>
    <w:rsid w:val="00741A31"/>
    <w:rsid w:val="007427EE"/>
    <w:rsid w:val="00742938"/>
    <w:rsid w:val="00742CAB"/>
    <w:rsid w:val="0074321C"/>
    <w:rsid w:val="007441B6"/>
    <w:rsid w:val="00744320"/>
    <w:rsid w:val="00744B80"/>
    <w:rsid w:val="0074508D"/>
    <w:rsid w:val="007454F2"/>
    <w:rsid w:val="00745CDB"/>
    <w:rsid w:val="00746A0D"/>
    <w:rsid w:val="00746A79"/>
    <w:rsid w:val="00746CDD"/>
    <w:rsid w:val="00747464"/>
    <w:rsid w:val="00747723"/>
    <w:rsid w:val="00747C4F"/>
    <w:rsid w:val="00750C70"/>
    <w:rsid w:val="00751354"/>
    <w:rsid w:val="00751616"/>
    <w:rsid w:val="00751AA9"/>
    <w:rsid w:val="00751C45"/>
    <w:rsid w:val="00751E30"/>
    <w:rsid w:val="007520A5"/>
    <w:rsid w:val="00752354"/>
    <w:rsid w:val="007523AB"/>
    <w:rsid w:val="007523CE"/>
    <w:rsid w:val="00754319"/>
    <w:rsid w:val="00754C04"/>
    <w:rsid w:val="00754F5F"/>
    <w:rsid w:val="007551DB"/>
    <w:rsid w:val="007556B2"/>
    <w:rsid w:val="00755703"/>
    <w:rsid w:val="007560A2"/>
    <w:rsid w:val="00756711"/>
    <w:rsid w:val="00756E45"/>
    <w:rsid w:val="007573D0"/>
    <w:rsid w:val="00757580"/>
    <w:rsid w:val="0075794B"/>
    <w:rsid w:val="00757A4A"/>
    <w:rsid w:val="00760928"/>
    <w:rsid w:val="007624E8"/>
    <w:rsid w:val="00762797"/>
    <w:rsid w:val="0076360D"/>
    <w:rsid w:val="00763B07"/>
    <w:rsid w:val="00763C26"/>
    <w:rsid w:val="007647EB"/>
    <w:rsid w:val="00765465"/>
    <w:rsid w:val="0076694C"/>
    <w:rsid w:val="00766D51"/>
    <w:rsid w:val="00766E12"/>
    <w:rsid w:val="00767184"/>
    <w:rsid w:val="007674B4"/>
    <w:rsid w:val="0076762E"/>
    <w:rsid w:val="00767A62"/>
    <w:rsid w:val="00770059"/>
    <w:rsid w:val="00770951"/>
    <w:rsid w:val="00770A61"/>
    <w:rsid w:val="00771957"/>
    <w:rsid w:val="00772045"/>
    <w:rsid w:val="00772367"/>
    <w:rsid w:val="007733F1"/>
    <w:rsid w:val="00773C5A"/>
    <w:rsid w:val="007745E5"/>
    <w:rsid w:val="00776059"/>
    <w:rsid w:val="00777871"/>
    <w:rsid w:val="00780080"/>
    <w:rsid w:val="0078032E"/>
    <w:rsid w:val="00780D4A"/>
    <w:rsid w:val="00781B88"/>
    <w:rsid w:val="00781D97"/>
    <w:rsid w:val="00782EE0"/>
    <w:rsid w:val="00783408"/>
    <w:rsid w:val="0078401E"/>
    <w:rsid w:val="00784AFF"/>
    <w:rsid w:val="00784D37"/>
    <w:rsid w:val="0078503B"/>
    <w:rsid w:val="00785454"/>
    <w:rsid w:val="007865F4"/>
    <w:rsid w:val="00786724"/>
    <w:rsid w:val="007868CA"/>
    <w:rsid w:val="007868D8"/>
    <w:rsid w:val="00786B10"/>
    <w:rsid w:val="00786BB4"/>
    <w:rsid w:val="00786E02"/>
    <w:rsid w:val="0078755D"/>
    <w:rsid w:val="007876AC"/>
    <w:rsid w:val="0078771C"/>
    <w:rsid w:val="00790A78"/>
    <w:rsid w:val="00791235"/>
    <w:rsid w:val="007914DA"/>
    <w:rsid w:val="00791949"/>
    <w:rsid w:val="00791B2A"/>
    <w:rsid w:val="0079207A"/>
    <w:rsid w:val="0079237C"/>
    <w:rsid w:val="00792558"/>
    <w:rsid w:val="0079265F"/>
    <w:rsid w:val="0079279D"/>
    <w:rsid w:val="007931FD"/>
    <w:rsid w:val="007936AB"/>
    <w:rsid w:val="00795513"/>
    <w:rsid w:val="00795D1C"/>
    <w:rsid w:val="00795FE4"/>
    <w:rsid w:val="00796E67"/>
    <w:rsid w:val="00796EA3"/>
    <w:rsid w:val="0079717A"/>
    <w:rsid w:val="007A008D"/>
    <w:rsid w:val="007A02B8"/>
    <w:rsid w:val="007A15A1"/>
    <w:rsid w:val="007A1C0A"/>
    <w:rsid w:val="007A1D27"/>
    <w:rsid w:val="007A1DD2"/>
    <w:rsid w:val="007A26D2"/>
    <w:rsid w:val="007A2D91"/>
    <w:rsid w:val="007A3C34"/>
    <w:rsid w:val="007A3E2B"/>
    <w:rsid w:val="007A4AC7"/>
    <w:rsid w:val="007A530C"/>
    <w:rsid w:val="007A5CA5"/>
    <w:rsid w:val="007A64B4"/>
    <w:rsid w:val="007A6B53"/>
    <w:rsid w:val="007A7271"/>
    <w:rsid w:val="007B0822"/>
    <w:rsid w:val="007B1173"/>
    <w:rsid w:val="007B19C4"/>
    <w:rsid w:val="007B243E"/>
    <w:rsid w:val="007B30B1"/>
    <w:rsid w:val="007B375A"/>
    <w:rsid w:val="007B3C10"/>
    <w:rsid w:val="007B3D46"/>
    <w:rsid w:val="007B445E"/>
    <w:rsid w:val="007B4B24"/>
    <w:rsid w:val="007B5E04"/>
    <w:rsid w:val="007B69FD"/>
    <w:rsid w:val="007B727F"/>
    <w:rsid w:val="007B76D3"/>
    <w:rsid w:val="007B7985"/>
    <w:rsid w:val="007C01FD"/>
    <w:rsid w:val="007C04DD"/>
    <w:rsid w:val="007C0F5F"/>
    <w:rsid w:val="007C1A5A"/>
    <w:rsid w:val="007C1DC5"/>
    <w:rsid w:val="007C1F4F"/>
    <w:rsid w:val="007C1FF9"/>
    <w:rsid w:val="007C2E5B"/>
    <w:rsid w:val="007C382C"/>
    <w:rsid w:val="007C3E48"/>
    <w:rsid w:val="007C3F3D"/>
    <w:rsid w:val="007C431E"/>
    <w:rsid w:val="007C4762"/>
    <w:rsid w:val="007C4C5E"/>
    <w:rsid w:val="007C4C86"/>
    <w:rsid w:val="007C5504"/>
    <w:rsid w:val="007C5988"/>
    <w:rsid w:val="007C6394"/>
    <w:rsid w:val="007C64ED"/>
    <w:rsid w:val="007C6B62"/>
    <w:rsid w:val="007C6F37"/>
    <w:rsid w:val="007C7952"/>
    <w:rsid w:val="007D002D"/>
    <w:rsid w:val="007D04D3"/>
    <w:rsid w:val="007D09A3"/>
    <w:rsid w:val="007D0E1E"/>
    <w:rsid w:val="007D32D8"/>
    <w:rsid w:val="007D372A"/>
    <w:rsid w:val="007D3C46"/>
    <w:rsid w:val="007D40F3"/>
    <w:rsid w:val="007D41E5"/>
    <w:rsid w:val="007D4D8D"/>
    <w:rsid w:val="007D596F"/>
    <w:rsid w:val="007D5AA1"/>
    <w:rsid w:val="007D602F"/>
    <w:rsid w:val="007D6CC3"/>
    <w:rsid w:val="007D6E9B"/>
    <w:rsid w:val="007D73BF"/>
    <w:rsid w:val="007D76F9"/>
    <w:rsid w:val="007D7A13"/>
    <w:rsid w:val="007E00E9"/>
    <w:rsid w:val="007E0742"/>
    <w:rsid w:val="007E08AC"/>
    <w:rsid w:val="007E19E3"/>
    <w:rsid w:val="007E30C9"/>
    <w:rsid w:val="007E336C"/>
    <w:rsid w:val="007E37E8"/>
    <w:rsid w:val="007E38E2"/>
    <w:rsid w:val="007E3B8B"/>
    <w:rsid w:val="007E5367"/>
    <w:rsid w:val="007E581A"/>
    <w:rsid w:val="007E5BFC"/>
    <w:rsid w:val="007E5E94"/>
    <w:rsid w:val="007E5EA3"/>
    <w:rsid w:val="007E640C"/>
    <w:rsid w:val="007E646A"/>
    <w:rsid w:val="007E66EE"/>
    <w:rsid w:val="007E6EA2"/>
    <w:rsid w:val="007E7637"/>
    <w:rsid w:val="007E7A50"/>
    <w:rsid w:val="007E7CCD"/>
    <w:rsid w:val="007E7ECC"/>
    <w:rsid w:val="007F1565"/>
    <w:rsid w:val="007F1B53"/>
    <w:rsid w:val="007F1C17"/>
    <w:rsid w:val="007F302A"/>
    <w:rsid w:val="007F37CF"/>
    <w:rsid w:val="007F410B"/>
    <w:rsid w:val="007F471E"/>
    <w:rsid w:val="007F555E"/>
    <w:rsid w:val="007F5DD5"/>
    <w:rsid w:val="007F632C"/>
    <w:rsid w:val="007F779C"/>
    <w:rsid w:val="007F7986"/>
    <w:rsid w:val="007F7B1A"/>
    <w:rsid w:val="00800112"/>
    <w:rsid w:val="008007A8"/>
    <w:rsid w:val="0080083A"/>
    <w:rsid w:val="0080242F"/>
    <w:rsid w:val="00802FE7"/>
    <w:rsid w:val="008031D4"/>
    <w:rsid w:val="00803217"/>
    <w:rsid w:val="0080398A"/>
    <w:rsid w:val="00803FEE"/>
    <w:rsid w:val="008044A6"/>
    <w:rsid w:val="008054B9"/>
    <w:rsid w:val="008058FC"/>
    <w:rsid w:val="00805D31"/>
    <w:rsid w:val="0080623C"/>
    <w:rsid w:val="00807444"/>
    <w:rsid w:val="008101D0"/>
    <w:rsid w:val="008103FE"/>
    <w:rsid w:val="00810F4C"/>
    <w:rsid w:val="00811156"/>
    <w:rsid w:val="008117A6"/>
    <w:rsid w:val="00811A63"/>
    <w:rsid w:val="00812B6F"/>
    <w:rsid w:val="00812D20"/>
    <w:rsid w:val="00812D58"/>
    <w:rsid w:val="008133A3"/>
    <w:rsid w:val="00813920"/>
    <w:rsid w:val="008139EB"/>
    <w:rsid w:val="00813E2A"/>
    <w:rsid w:val="00813F02"/>
    <w:rsid w:val="00814285"/>
    <w:rsid w:val="0081497B"/>
    <w:rsid w:val="00814A73"/>
    <w:rsid w:val="00814DB8"/>
    <w:rsid w:val="008152E1"/>
    <w:rsid w:val="00815547"/>
    <w:rsid w:val="00815A54"/>
    <w:rsid w:val="00815E80"/>
    <w:rsid w:val="008160DF"/>
    <w:rsid w:val="0081693F"/>
    <w:rsid w:val="00817124"/>
    <w:rsid w:val="008179AF"/>
    <w:rsid w:val="00817D56"/>
    <w:rsid w:val="0082011A"/>
    <w:rsid w:val="00820E27"/>
    <w:rsid w:val="00821428"/>
    <w:rsid w:val="00821495"/>
    <w:rsid w:val="00821E48"/>
    <w:rsid w:val="00822668"/>
    <w:rsid w:val="008230C8"/>
    <w:rsid w:val="008231BF"/>
    <w:rsid w:val="00823957"/>
    <w:rsid w:val="00824F1A"/>
    <w:rsid w:val="008250E5"/>
    <w:rsid w:val="00826029"/>
    <w:rsid w:val="00826040"/>
    <w:rsid w:val="00826245"/>
    <w:rsid w:val="00827264"/>
    <w:rsid w:val="00827296"/>
    <w:rsid w:val="008274AC"/>
    <w:rsid w:val="00827593"/>
    <w:rsid w:val="008277BD"/>
    <w:rsid w:val="008279E1"/>
    <w:rsid w:val="00827EE3"/>
    <w:rsid w:val="00830000"/>
    <w:rsid w:val="00830205"/>
    <w:rsid w:val="008309B5"/>
    <w:rsid w:val="00830B50"/>
    <w:rsid w:val="00830C66"/>
    <w:rsid w:val="00832BC4"/>
    <w:rsid w:val="00834118"/>
    <w:rsid w:val="008341BB"/>
    <w:rsid w:val="008347D5"/>
    <w:rsid w:val="0083480F"/>
    <w:rsid w:val="00834A61"/>
    <w:rsid w:val="00834A6D"/>
    <w:rsid w:val="00835BA1"/>
    <w:rsid w:val="008360A4"/>
    <w:rsid w:val="008364DB"/>
    <w:rsid w:val="00836BFB"/>
    <w:rsid w:val="00840207"/>
    <w:rsid w:val="00840440"/>
    <w:rsid w:val="00840CDC"/>
    <w:rsid w:val="00840E84"/>
    <w:rsid w:val="00841AC3"/>
    <w:rsid w:val="0084211F"/>
    <w:rsid w:val="008421BB"/>
    <w:rsid w:val="00842673"/>
    <w:rsid w:val="00843185"/>
    <w:rsid w:val="008433BC"/>
    <w:rsid w:val="00843AD3"/>
    <w:rsid w:val="0084409C"/>
    <w:rsid w:val="008445E7"/>
    <w:rsid w:val="00844DA5"/>
    <w:rsid w:val="0084538C"/>
    <w:rsid w:val="008456AA"/>
    <w:rsid w:val="00846ADE"/>
    <w:rsid w:val="00847140"/>
    <w:rsid w:val="008474E7"/>
    <w:rsid w:val="0084754D"/>
    <w:rsid w:val="00847725"/>
    <w:rsid w:val="008477EA"/>
    <w:rsid w:val="008479BF"/>
    <w:rsid w:val="00847F26"/>
    <w:rsid w:val="008501AD"/>
    <w:rsid w:val="008502B5"/>
    <w:rsid w:val="0085064B"/>
    <w:rsid w:val="00850A4A"/>
    <w:rsid w:val="00850D31"/>
    <w:rsid w:val="00851C67"/>
    <w:rsid w:val="00851E39"/>
    <w:rsid w:val="0085306C"/>
    <w:rsid w:val="0085380B"/>
    <w:rsid w:val="0085434C"/>
    <w:rsid w:val="008548D7"/>
    <w:rsid w:val="00854BA2"/>
    <w:rsid w:val="00854BBF"/>
    <w:rsid w:val="0085597E"/>
    <w:rsid w:val="00856444"/>
    <w:rsid w:val="00856C84"/>
    <w:rsid w:val="0085756C"/>
    <w:rsid w:val="00857611"/>
    <w:rsid w:val="008607FB"/>
    <w:rsid w:val="00860946"/>
    <w:rsid w:val="00860E06"/>
    <w:rsid w:val="00861201"/>
    <w:rsid w:val="008618B7"/>
    <w:rsid w:val="00861C66"/>
    <w:rsid w:val="008636C4"/>
    <w:rsid w:val="00864B7D"/>
    <w:rsid w:val="008651FF"/>
    <w:rsid w:val="00865627"/>
    <w:rsid w:val="00867BBD"/>
    <w:rsid w:val="00871912"/>
    <w:rsid w:val="00871A3A"/>
    <w:rsid w:val="008720ED"/>
    <w:rsid w:val="00872102"/>
    <w:rsid w:val="008723C5"/>
    <w:rsid w:val="00872820"/>
    <w:rsid w:val="0087283A"/>
    <w:rsid w:val="00872A61"/>
    <w:rsid w:val="0087479F"/>
    <w:rsid w:val="008753C9"/>
    <w:rsid w:val="008758FB"/>
    <w:rsid w:val="00876685"/>
    <w:rsid w:val="00877152"/>
    <w:rsid w:val="00877664"/>
    <w:rsid w:val="00877726"/>
    <w:rsid w:val="00877B19"/>
    <w:rsid w:val="00877D80"/>
    <w:rsid w:val="00877FDD"/>
    <w:rsid w:val="008820ED"/>
    <w:rsid w:val="00882113"/>
    <w:rsid w:val="0088238C"/>
    <w:rsid w:val="00882AD9"/>
    <w:rsid w:val="00883268"/>
    <w:rsid w:val="008837FF"/>
    <w:rsid w:val="00885038"/>
    <w:rsid w:val="008854AF"/>
    <w:rsid w:val="00885DB9"/>
    <w:rsid w:val="008862D2"/>
    <w:rsid w:val="00890833"/>
    <w:rsid w:val="00890EB3"/>
    <w:rsid w:val="00890F29"/>
    <w:rsid w:val="00890FD2"/>
    <w:rsid w:val="008914F2"/>
    <w:rsid w:val="00891A35"/>
    <w:rsid w:val="00891DD7"/>
    <w:rsid w:val="00892D13"/>
    <w:rsid w:val="008930E7"/>
    <w:rsid w:val="00893DAF"/>
    <w:rsid w:val="00894ADC"/>
    <w:rsid w:val="008950E5"/>
    <w:rsid w:val="00895B81"/>
    <w:rsid w:val="00895EDF"/>
    <w:rsid w:val="0089691A"/>
    <w:rsid w:val="00896BD3"/>
    <w:rsid w:val="008A1843"/>
    <w:rsid w:val="008A1B91"/>
    <w:rsid w:val="008A2D85"/>
    <w:rsid w:val="008A33FD"/>
    <w:rsid w:val="008A34ED"/>
    <w:rsid w:val="008A3DF1"/>
    <w:rsid w:val="008A464C"/>
    <w:rsid w:val="008A479F"/>
    <w:rsid w:val="008A47B1"/>
    <w:rsid w:val="008A666F"/>
    <w:rsid w:val="008A7039"/>
    <w:rsid w:val="008A7EAC"/>
    <w:rsid w:val="008B0518"/>
    <w:rsid w:val="008B1025"/>
    <w:rsid w:val="008B1705"/>
    <w:rsid w:val="008B1DE6"/>
    <w:rsid w:val="008B32DB"/>
    <w:rsid w:val="008B37C4"/>
    <w:rsid w:val="008B4135"/>
    <w:rsid w:val="008B4F1E"/>
    <w:rsid w:val="008B52F7"/>
    <w:rsid w:val="008B553A"/>
    <w:rsid w:val="008B7096"/>
    <w:rsid w:val="008B741C"/>
    <w:rsid w:val="008B774E"/>
    <w:rsid w:val="008B7C07"/>
    <w:rsid w:val="008B7E91"/>
    <w:rsid w:val="008B7EEE"/>
    <w:rsid w:val="008C0B6E"/>
    <w:rsid w:val="008C2F3C"/>
    <w:rsid w:val="008C34B1"/>
    <w:rsid w:val="008C4480"/>
    <w:rsid w:val="008C48F0"/>
    <w:rsid w:val="008C526D"/>
    <w:rsid w:val="008C5798"/>
    <w:rsid w:val="008C612D"/>
    <w:rsid w:val="008C689C"/>
    <w:rsid w:val="008C6999"/>
    <w:rsid w:val="008C6CD4"/>
    <w:rsid w:val="008C73ED"/>
    <w:rsid w:val="008C75BD"/>
    <w:rsid w:val="008C7794"/>
    <w:rsid w:val="008D0519"/>
    <w:rsid w:val="008D0CF0"/>
    <w:rsid w:val="008D1037"/>
    <w:rsid w:val="008D15EA"/>
    <w:rsid w:val="008D1963"/>
    <w:rsid w:val="008D2137"/>
    <w:rsid w:val="008D27E0"/>
    <w:rsid w:val="008D3542"/>
    <w:rsid w:val="008D389C"/>
    <w:rsid w:val="008D43BB"/>
    <w:rsid w:val="008D55FD"/>
    <w:rsid w:val="008D57FA"/>
    <w:rsid w:val="008D5826"/>
    <w:rsid w:val="008D5A7C"/>
    <w:rsid w:val="008D5B76"/>
    <w:rsid w:val="008D7C3B"/>
    <w:rsid w:val="008E0A54"/>
    <w:rsid w:val="008E0F5F"/>
    <w:rsid w:val="008E27D3"/>
    <w:rsid w:val="008E32FC"/>
    <w:rsid w:val="008E439A"/>
    <w:rsid w:val="008E4796"/>
    <w:rsid w:val="008E48DF"/>
    <w:rsid w:val="008E51F3"/>
    <w:rsid w:val="008E6C55"/>
    <w:rsid w:val="008E6F4D"/>
    <w:rsid w:val="008E75D7"/>
    <w:rsid w:val="008E7B61"/>
    <w:rsid w:val="008F06B1"/>
    <w:rsid w:val="008F08A3"/>
    <w:rsid w:val="008F0C10"/>
    <w:rsid w:val="008F2576"/>
    <w:rsid w:val="008F2678"/>
    <w:rsid w:val="008F2847"/>
    <w:rsid w:val="008F3989"/>
    <w:rsid w:val="008F3C2F"/>
    <w:rsid w:val="008F41F2"/>
    <w:rsid w:val="008F49EB"/>
    <w:rsid w:val="008F57D5"/>
    <w:rsid w:val="008F5966"/>
    <w:rsid w:val="008F5B90"/>
    <w:rsid w:val="008F629C"/>
    <w:rsid w:val="008F6397"/>
    <w:rsid w:val="008F6511"/>
    <w:rsid w:val="008F6A36"/>
    <w:rsid w:val="008F716A"/>
    <w:rsid w:val="008F73A2"/>
    <w:rsid w:val="008F7693"/>
    <w:rsid w:val="008F7FE9"/>
    <w:rsid w:val="00900095"/>
    <w:rsid w:val="009006DB"/>
    <w:rsid w:val="00901752"/>
    <w:rsid w:val="00902A2E"/>
    <w:rsid w:val="009037E5"/>
    <w:rsid w:val="00903E48"/>
    <w:rsid w:val="00904B9A"/>
    <w:rsid w:val="00904F39"/>
    <w:rsid w:val="009066DE"/>
    <w:rsid w:val="00906AFF"/>
    <w:rsid w:val="00906DAF"/>
    <w:rsid w:val="0090769C"/>
    <w:rsid w:val="00907E4F"/>
    <w:rsid w:val="00910D16"/>
    <w:rsid w:val="00910F25"/>
    <w:rsid w:val="009115A2"/>
    <w:rsid w:val="00912393"/>
    <w:rsid w:val="009129D0"/>
    <w:rsid w:val="00912B3D"/>
    <w:rsid w:val="0091312A"/>
    <w:rsid w:val="009132D0"/>
    <w:rsid w:val="00913FA9"/>
    <w:rsid w:val="00914591"/>
    <w:rsid w:val="009148EB"/>
    <w:rsid w:val="00914DE6"/>
    <w:rsid w:val="00914ECC"/>
    <w:rsid w:val="0091543A"/>
    <w:rsid w:val="00916ED1"/>
    <w:rsid w:val="00916F02"/>
    <w:rsid w:val="00917B5B"/>
    <w:rsid w:val="00917BED"/>
    <w:rsid w:val="00917CEC"/>
    <w:rsid w:val="009209A5"/>
    <w:rsid w:val="00920C60"/>
    <w:rsid w:val="00920D55"/>
    <w:rsid w:val="009216FC"/>
    <w:rsid w:val="009228D2"/>
    <w:rsid w:val="0092375B"/>
    <w:rsid w:val="00923A68"/>
    <w:rsid w:val="00924097"/>
    <w:rsid w:val="009245E8"/>
    <w:rsid w:val="00925407"/>
    <w:rsid w:val="00926184"/>
    <w:rsid w:val="00926437"/>
    <w:rsid w:val="00926516"/>
    <w:rsid w:val="0092671F"/>
    <w:rsid w:val="00926F0A"/>
    <w:rsid w:val="00927595"/>
    <w:rsid w:val="00927974"/>
    <w:rsid w:val="00927AE1"/>
    <w:rsid w:val="00927CB6"/>
    <w:rsid w:val="00930846"/>
    <w:rsid w:val="009311A4"/>
    <w:rsid w:val="0093141E"/>
    <w:rsid w:val="00931E55"/>
    <w:rsid w:val="00932B4C"/>
    <w:rsid w:val="0093304C"/>
    <w:rsid w:val="009338D5"/>
    <w:rsid w:val="00933BC3"/>
    <w:rsid w:val="00933FFA"/>
    <w:rsid w:val="00934467"/>
    <w:rsid w:val="00934990"/>
    <w:rsid w:val="00934A3E"/>
    <w:rsid w:val="00934E16"/>
    <w:rsid w:val="009352DF"/>
    <w:rsid w:val="009359C9"/>
    <w:rsid w:val="00935B74"/>
    <w:rsid w:val="00936E4E"/>
    <w:rsid w:val="009370B5"/>
    <w:rsid w:val="00937A06"/>
    <w:rsid w:val="00940541"/>
    <w:rsid w:val="009411D5"/>
    <w:rsid w:val="00942242"/>
    <w:rsid w:val="00942D33"/>
    <w:rsid w:val="0094369C"/>
    <w:rsid w:val="009437A6"/>
    <w:rsid w:val="0094384D"/>
    <w:rsid w:val="009439AF"/>
    <w:rsid w:val="009461B5"/>
    <w:rsid w:val="00946551"/>
    <w:rsid w:val="00947571"/>
    <w:rsid w:val="00947CB1"/>
    <w:rsid w:val="00947E01"/>
    <w:rsid w:val="009503EA"/>
    <w:rsid w:val="009506CB"/>
    <w:rsid w:val="009508DF"/>
    <w:rsid w:val="009514CE"/>
    <w:rsid w:val="0095158F"/>
    <w:rsid w:val="009518A4"/>
    <w:rsid w:val="009521D7"/>
    <w:rsid w:val="00952747"/>
    <w:rsid w:val="00952940"/>
    <w:rsid w:val="00952C19"/>
    <w:rsid w:val="00953117"/>
    <w:rsid w:val="00953181"/>
    <w:rsid w:val="00953A1A"/>
    <w:rsid w:val="00954A2A"/>
    <w:rsid w:val="00956043"/>
    <w:rsid w:val="0095694B"/>
    <w:rsid w:val="009569E6"/>
    <w:rsid w:val="00956AEF"/>
    <w:rsid w:val="0095750C"/>
    <w:rsid w:val="00960041"/>
    <w:rsid w:val="0096065C"/>
    <w:rsid w:val="00960A57"/>
    <w:rsid w:val="00961AA7"/>
    <w:rsid w:val="0096287F"/>
    <w:rsid w:val="00962AF1"/>
    <w:rsid w:val="00962CFE"/>
    <w:rsid w:val="00963584"/>
    <w:rsid w:val="00963E0A"/>
    <w:rsid w:val="0096473C"/>
    <w:rsid w:val="00964A75"/>
    <w:rsid w:val="00964F05"/>
    <w:rsid w:val="00965092"/>
    <w:rsid w:val="009663E6"/>
    <w:rsid w:val="00966817"/>
    <w:rsid w:val="00966B94"/>
    <w:rsid w:val="00966C76"/>
    <w:rsid w:val="00970199"/>
    <w:rsid w:val="0097067F"/>
    <w:rsid w:val="009708BC"/>
    <w:rsid w:val="00971AF9"/>
    <w:rsid w:val="00972A5A"/>
    <w:rsid w:val="009739F9"/>
    <w:rsid w:val="00974C69"/>
    <w:rsid w:val="00975045"/>
    <w:rsid w:val="00975E9D"/>
    <w:rsid w:val="00976030"/>
    <w:rsid w:val="009762E6"/>
    <w:rsid w:val="00976BAB"/>
    <w:rsid w:val="009772E8"/>
    <w:rsid w:val="0097746E"/>
    <w:rsid w:val="00977CA6"/>
    <w:rsid w:val="009801C3"/>
    <w:rsid w:val="00980B2B"/>
    <w:rsid w:val="0098106E"/>
    <w:rsid w:val="00982DEE"/>
    <w:rsid w:val="0098313F"/>
    <w:rsid w:val="009833F5"/>
    <w:rsid w:val="00984780"/>
    <w:rsid w:val="00984C24"/>
    <w:rsid w:val="00985CD9"/>
    <w:rsid w:val="00986F83"/>
    <w:rsid w:val="009911FA"/>
    <w:rsid w:val="00991729"/>
    <w:rsid w:val="009918F2"/>
    <w:rsid w:val="00991949"/>
    <w:rsid w:val="009922B0"/>
    <w:rsid w:val="00992615"/>
    <w:rsid w:val="009934A1"/>
    <w:rsid w:val="00993603"/>
    <w:rsid w:val="0099398D"/>
    <w:rsid w:val="00993F13"/>
    <w:rsid w:val="009940C6"/>
    <w:rsid w:val="00994884"/>
    <w:rsid w:val="009959BE"/>
    <w:rsid w:val="009972EF"/>
    <w:rsid w:val="00997310"/>
    <w:rsid w:val="00997455"/>
    <w:rsid w:val="009974F4"/>
    <w:rsid w:val="00997E26"/>
    <w:rsid w:val="009A0570"/>
    <w:rsid w:val="009A20C1"/>
    <w:rsid w:val="009A2A38"/>
    <w:rsid w:val="009A2C64"/>
    <w:rsid w:val="009A383D"/>
    <w:rsid w:val="009A3C43"/>
    <w:rsid w:val="009A4750"/>
    <w:rsid w:val="009A4A52"/>
    <w:rsid w:val="009A4B48"/>
    <w:rsid w:val="009A5FA3"/>
    <w:rsid w:val="009A70B3"/>
    <w:rsid w:val="009B08B7"/>
    <w:rsid w:val="009B0E6B"/>
    <w:rsid w:val="009B10E1"/>
    <w:rsid w:val="009B27C2"/>
    <w:rsid w:val="009B2913"/>
    <w:rsid w:val="009B3CF2"/>
    <w:rsid w:val="009B4A24"/>
    <w:rsid w:val="009B4ACE"/>
    <w:rsid w:val="009B515B"/>
    <w:rsid w:val="009B5B8D"/>
    <w:rsid w:val="009B5E2C"/>
    <w:rsid w:val="009B60F6"/>
    <w:rsid w:val="009B708F"/>
    <w:rsid w:val="009C0AFD"/>
    <w:rsid w:val="009C0B02"/>
    <w:rsid w:val="009C1803"/>
    <w:rsid w:val="009C19B2"/>
    <w:rsid w:val="009C402B"/>
    <w:rsid w:val="009C46A0"/>
    <w:rsid w:val="009C4A8E"/>
    <w:rsid w:val="009C5B2C"/>
    <w:rsid w:val="009C5E00"/>
    <w:rsid w:val="009C64E6"/>
    <w:rsid w:val="009C67CC"/>
    <w:rsid w:val="009C7310"/>
    <w:rsid w:val="009C7520"/>
    <w:rsid w:val="009C78F2"/>
    <w:rsid w:val="009D0186"/>
    <w:rsid w:val="009D0879"/>
    <w:rsid w:val="009D0D47"/>
    <w:rsid w:val="009D1753"/>
    <w:rsid w:val="009D1757"/>
    <w:rsid w:val="009D1DDA"/>
    <w:rsid w:val="009D2749"/>
    <w:rsid w:val="009D33FE"/>
    <w:rsid w:val="009D3528"/>
    <w:rsid w:val="009D3EB2"/>
    <w:rsid w:val="009D4192"/>
    <w:rsid w:val="009D487D"/>
    <w:rsid w:val="009D55DF"/>
    <w:rsid w:val="009D5797"/>
    <w:rsid w:val="009D5EED"/>
    <w:rsid w:val="009D62C4"/>
    <w:rsid w:val="009D6487"/>
    <w:rsid w:val="009D64C5"/>
    <w:rsid w:val="009D64D9"/>
    <w:rsid w:val="009D64FF"/>
    <w:rsid w:val="009D6F90"/>
    <w:rsid w:val="009D7FFD"/>
    <w:rsid w:val="009E07FD"/>
    <w:rsid w:val="009E0C96"/>
    <w:rsid w:val="009E1C40"/>
    <w:rsid w:val="009E1F20"/>
    <w:rsid w:val="009E2033"/>
    <w:rsid w:val="009E28BE"/>
    <w:rsid w:val="009E28C9"/>
    <w:rsid w:val="009E2EAB"/>
    <w:rsid w:val="009E311F"/>
    <w:rsid w:val="009E347A"/>
    <w:rsid w:val="009E3AC9"/>
    <w:rsid w:val="009E52D4"/>
    <w:rsid w:val="009E55EF"/>
    <w:rsid w:val="009E57FC"/>
    <w:rsid w:val="009E6715"/>
    <w:rsid w:val="009E69BA"/>
    <w:rsid w:val="009E6BA1"/>
    <w:rsid w:val="009E7F7B"/>
    <w:rsid w:val="009F0A6D"/>
    <w:rsid w:val="009F1815"/>
    <w:rsid w:val="009F1F82"/>
    <w:rsid w:val="009F2B43"/>
    <w:rsid w:val="009F2F79"/>
    <w:rsid w:val="009F4356"/>
    <w:rsid w:val="009F4389"/>
    <w:rsid w:val="009F4A2B"/>
    <w:rsid w:val="009F4D23"/>
    <w:rsid w:val="009F5784"/>
    <w:rsid w:val="009F58EC"/>
    <w:rsid w:val="009F69E5"/>
    <w:rsid w:val="009F6C93"/>
    <w:rsid w:val="009F6DD2"/>
    <w:rsid w:val="009F6E0F"/>
    <w:rsid w:val="009F7932"/>
    <w:rsid w:val="00A00AF7"/>
    <w:rsid w:val="00A012EC"/>
    <w:rsid w:val="00A01B4B"/>
    <w:rsid w:val="00A02BA1"/>
    <w:rsid w:val="00A03AAA"/>
    <w:rsid w:val="00A03AC1"/>
    <w:rsid w:val="00A04956"/>
    <w:rsid w:val="00A054A6"/>
    <w:rsid w:val="00A0561C"/>
    <w:rsid w:val="00A05A3F"/>
    <w:rsid w:val="00A05BD3"/>
    <w:rsid w:val="00A062C5"/>
    <w:rsid w:val="00A07115"/>
    <w:rsid w:val="00A0762A"/>
    <w:rsid w:val="00A07DD4"/>
    <w:rsid w:val="00A07FC3"/>
    <w:rsid w:val="00A10E2C"/>
    <w:rsid w:val="00A10FCE"/>
    <w:rsid w:val="00A1127D"/>
    <w:rsid w:val="00A1183B"/>
    <w:rsid w:val="00A11B15"/>
    <w:rsid w:val="00A11FED"/>
    <w:rsid w:val="00A12A44"/>
    <w:rsid w:val="00A12BA6"/>
    <w:rsid w:val="00A13497"/>
    <w:rsid w:val="00A136A8"/>
    <w:rsid w:val="00A13A06"/>
    <w:rsid w:val="00A13F78"/>
    <w:rsid w:val="00A13FD0"/>
    <w:rsid w:val="00A1448C"/>
    <w:rsid w:val="00A14C84"/>
    <w:rsid w:val="00A15188"/>
    <w:rsid w:val="00A1561C"/>
    <w:rsid w:val="00A159C7"/>
    <w:rsid w:val="00A15EC1"/>
    <w:rsid w:val="00A1625A"/>
    <w:rsid w:val="00A16E36"/>
    <w:rsid w:val="00A17A48"/>
    <w:rsid w:val="00A17CEA"/>
    <w:rsid w:val="00A17D13"/>
    <w:rsid w:val="00A20129"/>
    <w:rsid w:val="00A2067E"/>
    <w:rsid w:val="00A22553"/>
    <w:rsid w:val="00A227FA"/>
    <w:rsid w:val="00A22CDA"/>
    <w:rsid w:val="00A22FF0"/>
    <w:rsid w:val="00A2333E"/>
    <w:rsid w:val="00A2337A"/>
    <w:rsid w:val="00A24BF7"/>
    <w:rsid w:val="00A26030"/>
    <w:rsid w:val="00A26AC8"/>
    <w:rsid w:val="00A26C10"/>
    <w:rsid w:val="00A26E27"/>
    <w:rsid w:val="00A279D7"/>
    <w:rsid w:val="00A3166B"/>
    <w:rsid w:val="00A31D81"/>
    <w:rsid w:val="00A328D9"/>
    <w:rsid w:val="00A32AE1"/>
    <w:rsid w:val="00A331F4"/>
    <w:rsid w:val="00A3321B"/>
    <w:rsid w:val="00A3350E"/>
    <w:rsid w:val="00A336DF"/>
    <w:rsid w:val="00A34FAC"/>
    <w:rsid w:val="00A35165"/>
    <w:rsid w:val="00A35329"/>
    <w:rsid w:val="00A3543E"/>
    <w:rsid w:val="00A35861"/>
    <w:rsid w:val="00A36290"/>
    <w:rsid w:val="00A36ABF"/>
    <w:rsid w:val="00A370EE"/>
    <w:rsid w:val="00A3711C"/>
    <w:rsid w:val="00A37494"/>
    <w:rsid w:val="00A37835"/>
    <w:rsid w:val="00A37AAF"/>
    <w:rsid w:val="00A40638"/>
    <w:rsid w:val="00A409CE"/>
    <w:rsid w:val="00A40B0E"/>
    <w:rsid w:val="00A41289"/>
    <w:rsid w:val="00A416D0"/>
    <w:rsid w:val="00A4185A"/>
    <w:rsid w:val="00A4246B"/>
    <w:rsid w:val="00A42832"/>
    <w:rsid w:val="00A434C8"/>
    <w:rsid w:val="00A4350A"/>
    <w:rsid w:val="00A445C3"/>
    <w:rsid w:val="00A44A4A"/>
    <w:rsid w:val="00A44CA3"/>
    <w:rsid w:val="00A45082"/>
    <w:rsid w:val="00A450CA"/>
    <w:rsid w:val="00A46888"/>
    <w:rsid w:val="00A478FF"/>
    <w:rsid w:val="00A47DA7"/>
    <w:rsid w:val="00A47F05"/>
    <w:rsid w:val="00A47F7A"/>
    <w:rsid w:val="00A517EB"/>
    <w:rsid w:val="00A527EC"/>
    <w:rsid w:val="00A5299A"/>
    <w:rsid w:val="00A529F1"/>
    <w:rsid w:val="00A52A08"/>
    <w:rsid w:val="00A536A6"/>
    <w:rsid w:val="00A53C01"/>
    <w:rsid w:val="00A53EBD"/>
    <w:rsid w:val="00A54DE7"/>
    <w:rsid w:val="00A5540E"/>
    <w:rsid w:val="00A55676"/>
    <w:rsid w:val="00A5571F"/>
    <w:rsid w:val="00A55A21"/>
    <w:rsid w:val="00A55E0A"/>
    <w:rsid w:val="00A55F1D"/>
    <w:rsid w:val="00A575CC"/>
    <w:rsid w:val="00A57FD0"/>
    <w:rsid w:val="00A60176"/>
    <w:rsid w:val="00A605F4"/>
    <w:rsid w:val="00A60AF2"/>
    <w:rsid w:val="00A610E7"/>
    <w:rsid w:val="00A61E4B"/>
    <w:rsid w:val="00A6241F"/>
    <w:rsid w:val="00A63BB4"/>
    <w:rsid w:val="00A63E3A"/>
    <w:rsid w:val="00A64E88"/>
    <w:rsid w:val="00A65B53"/>
    <w:rsid w:val="00A65C56"/>
    <w:rsid w:val="00A65C7C"/>
    <w:rsid w:val="00A66DD6"/>
    <w:rsid w:val="00A70647"/>
    <w:rsid w:val="00A70CE7"/>
    <w:rsid w:val="00A7118C"/>
    <w:rsid w:val="00A7181A"/>
    <w:rsid w:val="00A71B18"/>
    <w:rsid w:val="00A72D82"/>
    <w:rsid w:val="00A730C4"/>
    <w:rsid w:val="00A730C6"/>
    <w:rsid w:val="00A73E1F"/>
    <w:rsid w:val="00A74027"/>
    <w:rsid w:val="00A747DC"/>
    <w:rsid w:val="00A750BD"/>
    <w:rsid w:val="00A75624"/>
    <w:rsid w:val="00A75C5C"/>
    <w:rsid w:val="00A768F4"/>
    <w:rsid w:val="00A769E5"/>
    <w:rsid w:val="00A76B19"/>
    <w:rsid w:val="00A7751A"/>
    <w:rsid w:val="00A779EB"/>
    <w:rsid w:val="00A77FEB"/>
    <w:rsid w:val="00A80783"/>
    <w:rsid w:val="00A80C0A"/>
    <w:rsid w:val="00A80CBF"/>
    <w:rsid w:val="00A82361"/>
    <w:rsid w:val="00A830B4"/>
    <w:rsid w:val="00A831E9"/>
    <w:rsid w:val="00A84380"/>
    <w:rsid w:val="00A84759"/>
    <w:rsid w:val="00A847DC"/>
    <w:rsid w:val="00A84BA0"/>
    <w:rsid w:val="00A84C1C"/>
    <w:rsid w:val="00A84D10"/>
    <w:rsid w:val="00A85398"/>
    <w:rsid w:val="00A853F5"/>
    <w:rsid w:val="00A85C2C"/>
    <w:rsid w:val="00A86162"/>
    <w:rsid w:val="00A8627A"/>
    <w:rsid w:val="00A8709D"/>
    <w:rsid w:val="00A87274"/>
    <w:rsid w:val="00A87290"/>
    <w:rsid w:val="00A877E2"/>
    <w:rsid w:val="00A905D1"/>
    <w:rsid w:val="00A91407"/>
    <w:rsid w:val="00A91535"/>
    <w:rsid w:val="00A9247E"/>
    <w:rsid w:val="00A92DD0"/>
    <w:rsid w:val="00A92F78"/>
    <w:rsid w:val="00A9329F"/>
    <w:rsid w:val="00A93386"/>
    <w:rsid w:val="00A93484"/>
    <w:rsid w:val="00A94079"/>
    <w:rsid w:val="00A94465"/>
    <w:rsid w:val="00A94B6D"/>
    <w:rsid w:val="00A954B1"/>
    <w:rsid w:val="00A95AED"/>
    <w:rsid w:val="00A9614E"/>
    <w:rsid w:val="00A9658C"/>
    <w:rsid w:val="00A96DF7"/>
    <w:rsid w:val="00A96F7D"/>
    <w:rsid w:val="00A9725A"/>
    <w:rsid w:val="00AA0B77"/>
    <w:rsid w:val="00AA1254"/>
    <w:rsid w:val="00AA1530"/>
    <w:rsid w:val="00AA172D"/>
    <w:rsid w:val="00AA1EA1"/>
    <w:rsid w:val="00AA2586"/>
    <w:rsid w:val="00AA2DD7"/>
    <w:rsid w:val="00AA319E"/>
    <w:rsid w:val="00AA3917"/>
    <w:rsid w:val="00AA3CFC"/>
    <w:rsid w:val="00AA3D6D"/>
    <w:rsid w:val="00AA4026"/>
    <w:rsid w:val="00AA422D"/>
    <w:rsid w:val="00AA44C2"/>
    <w:rsid w:val="00AA4940"/>
    <w:rsid w:val="00AA49EB"/>
    <w:rsid w:val="00AA4C71"/>
    <w:rsid w:val="00AA5B6A"/>
    <w:rsid w:val="00AA5D72"/>
    <w:rsid w:val="00AA5EB3"/>
    <w:rsid w:val="00AA5F00"/>
    <w:rsid w:val="00AA612D"/>
    <w:rsid w:val="00AA70EF"/>
    <w:rsid w:val="00AA733F"/>
    <w:rsid w:val="00AA7453"/>
    <w:rsid w:val="00AA7CED"/>
    <w:rsid w:val="00AA7E28"/>
    <w:rsid w:val="00AB0FDC"/>
    <w:rsid w:val="00AB12FE"/>
    <w:rsid w:val="00AB20E3"/>
    <w:rsid w:val="00AB3108"/>
    <w:rsid w:val="00AB3649"/>
    <w:rsid w:val="00AB3DEB"/>
    <w:rsid w:val="00AB4843"/>
    <w:rsid w:val="00AB4E14"/>
    <w:rsid w:val="00AB5B5C"/>
    <w:rsid w:val="00AB5F27"/>
    <w:rsid w:val="00AB6A7B"/>
    <w:rsid w:val="00AB6C1E"/>
    <w:rsid w:val="00AB6EDF"/>
    <w:rsid w:val="00AB72C1"/>
    <w:rsid w:val="00AC014C"/>
    <w:rsid w:val="00AC0156"/>
    <w:rsid w:val="00AC030A"/>
    <w:rsid w:val="00AC0475"/>
    <w:rsid w:val="00AC15C0"/>
    <w:rsid w:val="00AC2852"/>
    <w:rsid w:val="00AC311C"/>
    <w:rsid w:val="00AC3332"/>
    <w:rsid w:val="00AC38A8"/>
    <w:rsid w:val="00AC40ED"/>
    <w:rsid w:val="00AC435F"/>
    <w:rsid w:val="00AC460F"/>
    <w:rsid w:val="00AC4B7F"/>
    <w:rsid w:val="00AC4BAE"/>
    <w:rsid w:val="00AC5A2A"/>
    <w:rsid w:val="00AC620C"/>
    <w:rsid w:val="00AC64AF"/>
    <w:rsid w:val="00AC68A5"/>
    <w:rsid w:val="00AC6AA4"/>
    <w:rsid w:val="00AC6BB2"/>
    <w:rsid w:val="00AC7B54"/>
    <w:rsid w:val="00AC7ECA"/>
    <w:rsid w:val="00AD0668"/>
    <w:rsid w:val="00AD0B3A"/>
    <w:rsid w:val="00AD1F26"/>
    <w:rsid w:val="00AD210A"/>
    <w:rsid w:val="00AD2248"/>
    <w:rsid w:val="00AD2486"/>
    <w:rsid w:val="00AD26E5"/>
    <w:rsid w:val="00AD2CD0"/>
    <w:rsid w:val="00AD37C8"/>
    <w:rsid w:val="00AD3A36"/>
    <w:rsid w:val="00AD3F9D"/>
    <w:rsid w:val="00AD4222"/>
    <w:rsid w:val="00AD46E1"/>
    <w:rsid w:val="00AD4CF5"/>
    <w:rsid w:val="00AD4ECE"/>
    <w:rsid w:val="00AD5152"/>
    <w:rsid w:val="00AD766E"/>
    <w:rsid w:val="00AD770E"/>
    <w:rsid w:val="00AD7779"/>
    <w:rsid w:val="00AD777C"/>
    <w:rsid w:val="00AE0E61"/>
    <w:rsid w:val="00AE1BF6"/>
    <w:rsid w:val="00AE1C85"/>
    <w:rsid w:val="00AE2260"/>
    <w:rsid w:val="00AE24C2"/>
    <w:rsid w:val="00AE39D6"/>
    <w:rsid w:val="00AE3EB3"/>
    <w:rsid w:val="00AE47E6"/>
    <w:rsid w:val="00AE489D"/>
    <w:rsid w:val="00AE48FB"/>
    <w:rsid w:val="00AE4D95"/>
    <w:rsid w:val="00AE5C68"/>
    <w:rsid w:val="00AE5C92"/>
    <w:rsid w:val="00AE5CE1"/>
    <w:rsid w:val="00AE5D38"/>
    <w:rsid w:val="00AE66ED"/>
    <w:rsid w:val="00AE6FDC"/>
    <w:rsid w:val="00AE71AD"/>
    <w:rsid w:val="00AE729D"/>
    <w:rsid w:val="00AE74D8"/>
    <w:rsid w:val="00AE784C"/>
    <w:rsid w:val="00AE787D"/>
    <w:rsid w:val="00AE798D"/>
    <w:rsid w:val="00AE7F51"/>
    <w:rsid w:val="00AF0CF7"/>
    <w:rsid w:val="00AF11F1"/>
    <w:rsid w:val="00AF2085"/>
    <w:rsid w:val="00AF2795"/>
    <w:rsid w:val="00AF2BDF"/>
    <w:rsid w:val="00AF2C48"/>
    <w:rsid w:val="00AF2D55"/>
    <w:rsid w:val="00AF4DA1"/>
    <w:rsid w:val="00AF5319"/>
    <w:rsid w:val="00AF5458"/>
    <w:rsid w:val="00AF6D72"/>
    <w:rsid w:val="00AF7000"/>
    <w:rsid w:val="00AF728E"/>
    <w:rsid w:val="00B005EC"/>
    <w:rsid w:val="00B00DE4"/>
    <w:rsid w:val="00B0140A"/>
    <w:rsid w:val="00B01B5A"/>
    <w:rsid w:val="00B02B3D"/>
    <w:rsid w:val="00B02B44"/>
    <w:rsid w:val="00B02DF8"/>
    <w:rsid w:val="00B034B3"/>
    <w:rsid w:val="00B037E6"/>
    <w:rsid w:val="00B04301"/>
    <w:rsid w:val="00B055CC"/>
    <w:rsid w:val="00B0572F"/>
    <w:rsid w:val="00B05DF8"/>
    <w:rsid w:val="00B05FB0"/>
    <w:rsid w:val="00B0600E"/>
    <w:rsid w:val="00B0617A"/>
    <w:rsid w:val="00B06C4A"/>
    <w:rsid w:val="00B071C8"/>
    <w:rsid w:val="00B07276"/>
    <w:rsid w:val="00B07733"/>
    <w:rsid w:val="00B07976"/>
    <w:rsid w:val="00B10510"/>
    <w:rsid w:val="00B105E8"/>
    <w:rsid w:val="00B10641"/>
    <w:rsid w:val="00B10DF7"/>
    <w:rsid w:val="00B10FCF"/>
    <w:rsid w:val="00B132C5"/>
    <w:rsid w:val="00B13E5B"/>
    <w:rsid w:val="00B141C9"/>
    <w:rsid w:val="00B144AD"/>
    <w:rsid w:val="00B149FA"/>
    <w:rsid w:val="00B1580B"/>
    <w:rsid w:val="00B15848"/>
    <w:rsid w:val="00B15850"/>
    <w:rsid w:val="00B15863"/>
    <w:rsid w:val="00B15CBC"/>
    <w:rsid w:val="00B16293"/>
    <w:rsid w:val="00B16B3A"/>
    <w:rsid w:val="00B16BC4"/>
    <w:rsid w:val="00B16C45"/>
    <w:rsid w:val="00B16E54"/>
    <w:rsid w:val="00B16F01"/>
    <w:rsid w:val="00B16F0E"/>
    <w:rsid w:val="00B17BAB"/>
    <w:rsid w:val="00B204DC"/>
    <w:rsid w:val="00B20BED"/>
    <w:rsid w:val="00B21124"/>
    <w:rsid w:val="00B217A1"/>
    <w:rsid w:val="00B22065"/>
    <w:rsid w:val="00B2245E"/>
    <w:rsid w:val="00B22481"/>
    <w:rsid w:val="00B22E4C"/>
    <w:rsid w:val="00B253FC"/>
    <w:rsid w:val="00B25F20"/>
    <w:rsid w:val="00B25F26"/>
    <w:rsid w:val="00B26ACD"/>
    <w:rsid w:val="00B30137"/>
    <w:rsid w:val="00B309C4"/>
    <w:rsid w:val="00B318A2"/>
    <w:rsid w:val="00B31AD3"/>
    <w:rsid w:val="00B32534"/>
    <w:rsid w:val="00B32E6F"/>
    <w:rsid w:val="00B32FF2"/>
    <w:rsid w:val="00B338C2"/>
    <w:rsid w:val="00B33A29"/>
    <w:rsid w:val="00B34699"/>
    <w:rsid w:val="00B347DC"/>
    <w:rsid w:val="00B34EC9"/>
    <w:rsid w:val="00B35CB1"/>
    <w:rsid w:val="00B35EE5"/>
    <w:rsid w:val="00B360D9"/>
    <w:rsid w:val="00B367E4"/>
    <w:rsid w:val="00B36AD6"/>
    <w:rsid w:val="00B36B8A"/>
    <w:rsid w:val="00B36DFE"/>
    <w:rsid w:val="00B37537"/>
    <w:rsid w:val="00B37ABD"/>
    <w:rsid w:val="00B40038"/>
    <w:rsid w:val="00B400FD"/>
    <w:rsid w:val="00B4011A"/>
    <w:rsid w:val="00B40128"/>
    <w:rsid w:val="00B4038A"/>
    <w:rsid w:val="00B40B6F"/>
    <w:rsid w:val="00B4216A"/>
    <w:rsid w:val="00B421B3"/>
    <w:rsid w:val="00B425A1"/>
    <w:rsid w:val="00B428DA"/>
    <w:rsid w:val="00B42AA2"/>
    <w:rsid w:val="00B43C11"/>
    <w:rsid w:val="00B45551"/>
    <w:rsid w:val="00B45C7C"/>
    <w:rsid w:val="00B46304"/>
    <w:rsid w:val="00B46666"/>
    <w:rsid w:val="00B472E5"/>
    <w:rsid w:val="00B47430"/>
    <w:rsid w:val="00B47747"/>
    <w:rsid w:val="00B52262"/>
    <w:rsid w:val="00B52C90"/>
    <w:rsid w:val="00B5360F"/>
    <w:rsid w:val="00B53FC5"/>
    <w:rsid w:val="00B53FD2"/>
    <w:rsid w:val="00B540D1"/>
    <w:rsid w:val="00B55546"/>
    <w:rsid w:val="00B5694A"/>
    <w:rsid w:val="00B569A4"/>
    <w:rsid w:val="00B56AE4"/>
    <w:rsid w:val="00B570E5"/>
    <w:rsid w:val="00B57165"/>
    <w:rsid w:val="00B572E7"/>
    <w:rsid w:val="00B57BD7"/>
    <w:rsid w:val="00B60254"/>
    <w:rsid w:val="00B61CB5"/>
    <w:rsid w:val="00B62E1A"/>
    <w:rsid w:val="00B62F40"/>
    <w:rsid w:val="00B6379E"/>
    <w:rsid w:val="00B64CB2"/>
    <w:rsid w:val="00B65027"/>
    <w:rsid w:val="00B65797"/>
    <w:rsid w:val="00B658F1"/>
    <w:rsid w:val="00B65F48"/>
    <w:rsid w:val="00B660BB"/>
    <w:rsid w:val="00B6663D"/>
    <w:rsid w:val="00B673EA"/>
    <w:rsid w:val="00B67413"/>
    <w:rsid w:val="00B67F30"/>
    <w:rsid w:val="00B7010A"/>
    <w:rsid w:val="00B7142B"/>
    <w:rsid w:val="00B71462"/>
    <w:rsid w:val="00B721DA"/>
    <w:rsid w:val="00B72289"/>
    <w:rsid w:val="00B7286D"/>
    <w:rsid w:val="00B729E8"/>
    <w:rsid w:val="00B72AB8"/>
    <w:rsid w:val="00B72AE4"/>
    <w:rsid w:val="00B72BF1"/>
    <w:rsid w:val="00B72E74"/>
    <w:rsid w:val="00B736F9"/>
    <w:rsid w:val="00B73774"/>
    <w:rsid w:val="00B73D2F"/>
    <w:rsid w:val="00B74171"/>
    <w:rsid w:val="00B747C7"/>
    <w:rsid w:val="00B74C63"/>
    <w:rsid w:val="00B75058"/>
    <w:rsid w:val="00B7505E"/>
    <w:rsid w:val="00B754A1"/>
    <w:rsid w:val="00B75A74"/>
    <w:rsid w:val="00B75BD3"/>
    <w:rsid w:val="00B76492"/>
    <w:rsid w:val="00B76A4B"/>
    <w:rsid w:val="00B76AC4"/>
    <w:rsid w:val="00B770A2"/>
    <w:rsid w:val="00B7765A"/>
    <w:rsid w:val="00B77F6F"/>
    <w:rsid w:val="00B80B69"/>
    <w:rsid w:val="00B80E13"/>
    <w:rsid w:val="00B828A6"/>
    <w:rsid w:val="00B84A6F"/>
    <w:rsid w:val="00B84AEE"/>
    <w:rsid w:val="00B84BDF"/>
    <w:rsid w:val="00B84CDF"/>
    <w:rsid w:val="00B850C7"/>
    <w:rsid w:val="00B85177"/>
    <w:rsid w:val="00B85479"/>
    <w:rsid w:val="00B86298"/>
    <w:rsid w:val="00B876C1"/>
    <w:rsid w:val="00B87B66"/>
    <w:rsid w:val="00B87DB7"/>
    <w:rsid w:val="00B87F0C"/>
    <w:rsid w:val="00B9006D"/>
    <w:rsid w:val="00B906E4"/>
    <w:rsid w:val="00B91211"/>
    <w:rsid w:val="00B9127E"/>
    <w:rsid w:val="00B92D52"/>
    <w:rsid w:val="00B930B5"/>
    <w:rsid w:val="00B9383B"/>
    <w:rsid w:val="00B93A2F"/>
    <w:rsid w:val="00B93B7D"/>
    <w:rsid w:val="00B95278"/>
    <w:rsid w:val="00B953D6"/>
    <w:rsid w:val="00B95699"/>
    <w:rsid w:val="00B964F4"/>
    <w:rsid w:val="00B966B7"/>
    <w:rsid w:val="00B967D2"/>
    <w:rsid w:val="00B96A74"/>
    <w:rsid w:val="00B96D69"/>
    <w:rsid w:val="00B97FBE"/>
    <w:rsid w:val="00BA0111"/>
    <w:rsid w:val="00BA047E"/>
    <w:rsid w:val="00BA0F7E"/>
    <w:rsid w:val="00BA1300"/>
    <w:rsid w:val="00BA14C6"/>
    <w:rsid w:val="00BA2A04"/>
    <w:rsid w:val="00BA34EC"/>
    <w:rsid w:val="00BA34F9"/>
    <w:rsid w:val="00BA39E8"/>
    <w:rsid w:val="00BA403E"/>
    <w:rsid w:val="00BA44BB"/>
    <w:rsid w:val="00BA556C"/>
    <w:rsid w:val="00BA59EA"/>
    <w:rsid w:val="00BA6548"/>
    <w:rsid w:val="00BA665C"/>
    <w:rsid w:val="00BA6C56"/>
    <w:rsid w:val="00BA6E31"/>
    <w:rsid w:val="00BA750A"/>
    <w:rsid w:val="00BA7FF3"/>
    <w:rsid w:val="00BB01C3"/>
    <w:rsid w:val="00BB02D4"/>
    <w:rsid w:val="00BB03E8"/>
    <w:rsid w:val="00BB07AA"/>
    <w:rsid w:val="00BB13F4"/>
    <w:rsid w:val="00BB17A9"/>
    <w:rsid w:val="00BB2333"/>
    <w:rsid w:val="00BB27B3"/>
    <w:rsid w:val="00BB29BF"/>
    <w:rsid w:val="00BB2D67"/>
    <w:rsid w:val="00BB2F02"/>
    <w:rsid w:val="00BB3158"/>
    <w:rsid w:val="00BB37AD"/>
    <w:rsid w:val="00BB4940"/>
    <w:rsid w:val="00BB5865"/>
    <w:rsid w:val="00BB6005"/>
    <w:rsid w:val="00BB6C59"/>
    <w:rsid w:val="00BB6C70"/>
    <w:rsid w:val="00BC06F8"/>
    <w:rsid w:val="00BC104E"/>
    <w:rsid w:val="00BC12D7"/>
    <w:rsid w:val="00BC2516"/>
    <w:rsid w:val="00BC2F4B"/>
    <w:rsid w:val="00BC34E0"/>
    <w:rsid w:val="00BC44CD"/>
    <w:rsid w:val="00BC48D0"/>
    <w:rsid w:val="00BC4DF8"/>
    <w:rsid w:val="00BC4E47"/>
    <w:rsid w:val="00BC547F"/>
    <w:rsid w:val="00BC556B"/>
    <w:rsid w:val="00BC56B3"/>
    <w:rsid w:val="00BC5716"/>
    <w:rsid w:val="00BC6595"/>
    <w:rsid w:val="00BC664D"/>
    <w:rsid w:val="00BC76FA"/>
    <w:rsid w:val="00BD04CB"/>
    <w:rsid w:val="00BD192E"/>
    <w:rsid w:val="00BD324C"/>
    <w:rsid w:val="00BD3686"/>
    <w:rsid w:val="00BD3CF0"/>
    <w:rsid w:val="00BD4682"/>
    <w:rsid w:val="00BD4AD9"/>
    <w:rsid w:val="00BD6243"/>
    <w:rsid w:val="00BD67DA"/>
    <w:rsid w:val="00BD6CBD"/>
    <w:rsid w:val="00BD6D56"/>
    <w:rsid w:val="00BD75AE"/>
    <w:rsid w:val="00BD79A1"/>
    <w:rsid w:val="00BE14E3"/>
    <w:rsid w:val="00BE199A"/>
    <w:rsid w:val="00BE1A83"/>
    <w:rsid w:val="00BE25BC"/>
    <w:rsid w:val="00BE29F6"/>
    <w:rsid w:val="00BE2C1D"/>
    <w:rsid w:val="00BE2D97"/>
    <w:rsid w:val="00BE34EB"/>
    <w:rsid w:val="00BE3DD7"/>
    <w:rsid w:val="00BE4077"/>
    <w:rsid w:val="00BE40C9"/>
    <w:rsid w:val="00BE4666"/>
    <w:rsid w:val="00BE684D"/>
    <w:rsid w:val="00BE69FD"/>
    <w:rsid w:val="00BE7BD5"/>
    <w:rsid w:val="00BF0BE6"/>
    <w:rsid w:val="00BF17A1"/>
    <w:rsid w:val="00BF20E8"/>
    <w:rsid w:val="00BF3F98"/>
    <w:rsid w:val="00BF4E98"/>
    <w:rsid w:val="00BF5975"/>
    <w:rsid w:val="00BF5BD8"/>
    <w:rsid w:val="00BF5C1C"/>
    <w:rsid w:val="00BF69B3"/>
    <w:rsid w:val="00BF6ADD"/>
    <w:rsid w:val="00BF7AAE"/>
    <w:rsid w:val="00BF7DDA"/>
    <w:rsid w:val="00C001FD"/>
    <w:rsid w:val="00C00FE5"/>
    <w:rsid w:val="00C01CED"/>
    <w:rsid w:val="00C01FE1"/>
    <w:rsid w:val="00C03681"/>
    <w:rsid w:val="00C04E5E"/>
    <w:rsid w:val="00C05601"/>
    <w:rsid w:val="00C05689"/>
    <w:rsid w:val="00C05A48"/>
    <w:rsid w:val="00C06D8C"/>
    <w:rsid w:val="00C06F99"/>
    <w:rsid w:val="00C0732E"/>
    <w:rsid w:val="00C073A2"/>
    <w:rsid w:val="00C10066"/>
    <w:rsid w:val="00C10359"/>
    <w:rsid w:val="00C1044B"/>
    <w:rsid w:val="00C10BDA"/>
    <w:rsid w:val="00C10C6A"/>
    <w:rsid w:val="00C1130D"/>
    <w:rsid w:val="00C116B8"/>
    <w:rsid w:val="00C1194F"/>
    <w:rsid w:val="00C11FBE"/>
    <w:rsid w:val="00C1280A"/>
    <w:rsid w:val="00C12B20"/>
    <w:rsid w:val="00C12D64"/>
    <w:rsid w:val="00C12D8C"/>
    <w:rsid w:val="00C135CA"/>
    <w:rsid w:val="00C135F9"/>
    <w:rsid w:val="00C13739"/>
    <w:rsid w:val="00C13FAD"/>
    <w:rsid w:val="00C140F2"/>
    <w:rsid w:val="00C148E8"/>
    <w:rsid w:val="00C14D28"/>
    <w:rsid w:val="00C14DB0"/>
    <w:rsid w:val="00C14EF5"/>
    <w:rsid w:val="00C150D0"/>
    <w:rsid w:val="00C162EA"/>
    <w:rsid w:val="00C16498"/>
    <w:rsid w:val="00C16A2B"/>
    <w:rsid w:val="00C170E5"/>
    <w:rsid w:val="00C175EA"/>
    <w:rsid w:val="00C17703"/>
    <w:rsid w:val="00C17EF2"/>
    <w:rsid w:val="00C201FB"/>
    <w:rsid w:val="00C20722"/>
    <w:rsid w:val="00C20935"/>
    <w:rsid w:val="00C20B01"/>
    <w:rsid w:val="00C20FBB"/>
    <w:rsid w:val="00C215F8"/>
    <w:rsid w:val="00C21980"/>
    <w:rsid w:val="00C21D32"/>
    <w:rsid w:val="00C21E1A"/>
    <w:rsid w:val="00C22742"/>
    <w:rsid w:val="00C22A8E"/>
    <w:rsid w:val="00C22DAC"/>
    <w:rsid w:val="00C23262"/>
    <w:rsid w:val="00C23ABD"/>
    <w:rsid w:val="00C23BE6"/>
    <w:rsid w:val="00C23CF6"/>
    <w:rsid w:val="00C2472C"/>
    <w:rsid w:val="00C2542B"/>
    <w:rsid w:val="00C256C6"/>
    <w:rsid w:val="00C256C9"/>
    <w:rsid w:val="00C268DD"/>
    <w:rsid w:val="00C26F31"/>
    <w:rsid w:val="00C271CF"/>
    <w:rsid w:val="00C27743"/>
    <w:rsid w:val="00C27F36"/>
    <w:rsid w:val="00C27F47"/>
    <w:rsid w:val="00C30404"/>
    <w:rsid w:val="00C31354"/>
    <w:rsid w:val="00C314AE"/>
    <w:rsid w:val="00C314AF"/>
    <w:rsid w:val="00C31840"/>
    <w:rsid w:val="00C319C4"/>
    <w:rsid w:val="00C31C2D"/>
    <w:rsid w:val="00C32078"/>
    <w:rsid w:val="00C33EC2"/>
    <w:rsid w:val="00C349ED"/>
    <w:rsid w:val="00C34B93"/>
    <w:rsid w:val="00C35108"/>
    <w:rsid w:val="00C3526B"/>
    <w:rsid w:val="00C35F3A"/>
    <w:rsid w:val="00C36171"/>
    <w:rsid w:val="00C36D1B"/>
    <w:rsid w:val="00C37013"/>
    <w:rsid w:val="00C3721E"/>
    <w:rsid w:val="00C37BBA"/>
    <w:rsid w:val="00C37D34"/>
    <w:rsid w:val="00C401B9"/>
    <w:rsid w:val="00C40331"/>
    <w:rsid w:val="00C405F5"/>
    <w:rsid w:val="00C41B6A"/>
    <w:rsid w:val="00C41D71"/>
    <w:rsid w:val="00C4204D"/>
    <w:rsid w:val="00C42584"/>
    <w:rsid w:val="00C427D2"/>
    <w:rsid w:val="00C42D4D"/>
    <w:rsid w:val="00C43170"/>
    <w:rsid w:val="00C442D8"/>
    <w:rsid w:val="00C44AE0"/>
    <w:rsid w:val="00C4741F"/>
    <w:rsid w:val="00C47711"/>
    <w:rsid w:val="00C47B72"/>
    <w:rsid w:val="00C50764"/>
    <w:rsid w:val="00C512AA"/>
    <w:rsid w:val="00C5176B"/>
    <w:rsid w:val="00C528A4"/>
    <w:rsid w:val="00C52C2F"/>
    <w:rsid w:val="00C534CD"/>
    <w:rsid w:val="00C5357B"/>
    <w:rsid w:val="00C53F8D"/>
    <w:rsid w:val="00C545B8"/>
    <w:rsid w:val="00C54839"/>
    <w:rsid w:val="00C54948"/>
    <w:rsid w:val="00C54E1D"/>
    <w:rsid w:val="00C55C8B"/>
    <w:rsid w:val="00C57592"/>
    <w:rsid w:val="00C57872"/>
    <w:rsid w:val="00C605BE"/>
    <w:rsid w:val="00C61422"/>
    <w:rsid w:val="00C6198F"/>
    <w:rsid w:val="00C6202C"/>
    <w:rsid w:val="00C627CC"/>
    <w:rsid w:val="00C628B2"/>
    <w:rsid w:val="00C62BFC"/>
    <w:rsid w:val="00C62D3A"/>
    <w:rsid w:val="00C63A62"/>
    <w:rsid w:val="00C63AE8"/>
    <w:rsid w:val="00C63B2A"/>
    <w:rsid w:val="00C64264"/>
    <w:rsid w:val="00C64318"/>
    <w:rsid w:val="00C64F77"/>
    <w:rsid w:val="00C6584D"/>
    <w:rsid w:val="00C65F40"/>
    <w:rsid w:val="00C7010D"/>
    <w:rsid w:val="00C703D0"/>
    <w:rsid w:val="00C70F75"/>
    <w:rsid w:val="00C718FE"/>
    <w:rsid w:val="00C720B9"/>
    <w:rsid w:val="00C73628"/>
    <w:rsid w:val="00C75247"/>
    <w:rsid w:val="00C767E2"/>
    <w:rsid w:val="00C76F81"/>
    <w:rsid w:val="00C80A07"/>
    <w:rsid w:val="00C80A4B"/>
    <w:rsid w:val="00C81FE3"/>
    <w:rsid w:val="00C820AB"/>
    <w:rsid w:val="00C8211B"/>
    <w:rsid w:val="00C828ED"/>
    <w:rsid w:val="00C8292C"/>
    <w:rsid w:val="00C830DB"/>
    <w:rsid w:val="00C83E10"/>
    <w:rsid w:val="00C841D6"/>
    <w:rsid w:val="00C84E70"/>
    <w:rsid w:val="00C8564F"/>
    <w:rsid w:val="00C864DE"/>
    <w:rsid w:val="00C8669F"/>
    <w:rsid w:val="00C86AC5"/>
    <w:rsid w:val="00C86BE5"/>
    <w:rsid w:val="00C87000"/>
    <w:rsid w:val="00C87AAA"/>
    <w:rsid w:val="00C87D77"/>
    <w:rsid w:val="00C900B8"/>
    <w:rsid w:val="00C901F1"/>
    <w:rsid w:val="00C90640"/>
    <w:rsid w:val="00C90812"/>
    <w:rsid w:val="00C9153C"/>
    <w:rsid w:val="00C91D4B"/>
    <w:rsid w:val="00C9205E"/>
    <w:rsid w:val="00C92BD3"/>
    <w:rsid w:val="00C93011"/>
    <w:rsid w:val="00C93087"/>
    <w:rsid w:val="00C93189"/>
    <w:rsid w:val="00C93ED8"/>
    <w:rsid w:val="00C94244"/>
    <w:rsid w:val="00C942A1"/>
    <w:rsid w:val="00C94667"/>
    <w:rsid w:val="00C95743"/>
    <w:rsid w:val="00C96539"/>
    <w:rsid w:val="00C965F2"/>
    <w:rsid w:val="00C97475"/>
    <w:rsid w:val="00C9749E"/>
    <w:rsid w:val="00C97DC5"/>
    <w:rsid w:val="00CA0232"/>
    <w:rsid w:val="00CA02A9"/>
    <w:rsid w:val="00CA0FAF"/>
    <w:rsid w:val="00CA1C29"/>
    <w:rsid w:val="00CA22C9"/>
    <w:rsid w:val="00CA23C6"/>
    <w:rsid w:val="00CA313D"/>
    <w:rsid w:val="00CA4CE8"/>
    <w:rsid w:val="00CA4D1C"/>
    <w:rsid w:val="00CA4E19"/>
    <w:rsid w:val="00CA4FCB"/>
    <w:rsid w:val="00CA5015"/>
    <w:rsid w:val="00CA521E"/>
    <w:rsid w:val="00CA7219"/>
    <w:rsid w:val="00CA73A8"/>
    <w:rsid w:val="00CA7F4A"/>
    <w:rsid w:val="00CB067E"/>
    <w:rsid w:val="00CB12C4"/>
    <w:rsid w:val="00CB15E0"/>
    <w:rsid w:val="00CB1742"/>
    <w:rsid w:val="00CB2B37"/>
    <w:rsid w:val="00CB3094"/>
    <w:rsid w:val="00CB55AA"/>
    <w:rsid w:val="00CB6CDA"/>
    <w:rsid w:val="00CB7074"/>
    <w:rsid w:val="00CB7200"/>
    <w:rsid w:val="00CC0571"/>
    <w:rsid w:val="00CC0BD8"/>
    <w:rsid w:val="00CC1473"/>
    <w:rsid w:val="00CC14CA"/>
    <w:rsid w:val="00CC173E"/>
    <w:rsid w:val="00CC1B49"/>
    <w:rsid w:val="00CC1BE0"/>
    <w:rsid w:val="00CC1BEF"/>
    <w:rsid w:val="00CC287E"/>
    <w:rsid w:val="00CC302B"/>
    <w:rsid w:val="00CC330A"/>
    <w:rsid w:val="00CC3713"/>
    <w:rsid w:val="00CC3EF6"/>
    <w:rsid w:val="00CC4FC3"/>
    <w:rsid w:val="00CC5A0A"/>
    <w:rsid w:val="00CC5F6E"/>
    <w:rsid w:val="00CC6368"/>
    <w:rsid w:val="00CC658C"/>
    <w:rsid w:val="00CC7483"/>
    <w:rsid w:val="00CC7AF9"/>
    <w:rsid w:val="00CD0AC8"/>
    <w:rsid w:val="00CD0F95"/>
    <w:rsid w:val="00CD15E7"/>
    <w:rsid w:val="00CD1E0A"/>
    <w:rsid w:val="00CD1EAC"/>
    <w:rsid w:val="00CD1F3C"/>
    <w:rsid w:val="00CD2546"/>
    <w:rsid w:val="00CD2812"/>
    <w:rsid w:val="00CD33A5"/>
    <w:rsid w:val="00CD39F9"/>
    <w:rsid w:val="00CD462A"/>
    <w:rsid w:val="00CD4821"/>
    <w:rsid w:val="00CD4B04"/>
    <w:rsid w:val="00CD5391"/>
    <w:rsid w:val="00CD5DAE"/>
    <w:rsid w:val="00CD5E25"/>
    <w:rsid w:val="00CD635A"/>
    <w:rsid w:val="00CD6CB8"/>
    <w:rsid w:val="00CD7351"/>
    <w:rsid w:val="00CD7424"/>
    <w:rsid w:val="00CE08C7"/>
    <w:rsid w:val="00CE0C2E"/>
    <w:rsid w:val="00CE2E21"/>
    <w:rsid w:val="00CE37B4"/>
    <w:rsid w:val="00CE45FF"/>
    <w:rsid w:val="00CE499C"/>
    <w:rsid w:val="00CE4BBA"/>
    <w:rsid w:val="00CE5729"/>
    <w:rsid w:val="00CE57C0"/>
    <w:rsid w:val="00CE5EF2"/>
    <w:rsid w:val="00CE5F00"/>
    <w:rsid w:val="00CE6BFB"/>
    <w:rsid w:val="00CE6D77"/>
    <w:rsid w:val="00CE7140"/>
    <w:rsid w:val="00CF09B0"/>
    <w:rsid w:val="00CF0A7A"/>
    <w:rsid w:val="00CF0C0E"/>
    <w:rsid w:val="00CF1AC5"/>
    <w:rsid w:val="00CF22AF"/>
    <w:rsid w:val="00CF2426"/>
    <w:rsid w:val="00CF3286"/>
    <w:rsid w:val="00CF45C5"/>
    <w:rsid w:val="00CF4EEA"/>
    <w:rsid w:val="00CF594B"/>
    <w:rsid w:val="00CF6098"/>
    <w:rsid w:val="00CF6EE8"/>
    <w:rsid w:val="00CF7773"/>
    <w:rsid w:val="00CF7D2D"/>
    <w:rsid w:val="00D000B2"/>
    <w:rsid w:val="00D002E9"/>
    <w:rsid w:val="00D005B0"/>
    <w:rsid w:val="00D008CF"/>
    <w:rsid w:val="00D0091F"/>
    <w:rsid w:val="00D00DB8"/>
    <w:rsid w:val="00D00EF1"/>
    <w:rsid w:val="00D01CC7"/>
    <w:rsid w:val="00D02375"/>
    <w:rsid w:val="00D0259D"/>
    <w:rsid w:val="00D03C01"/>
    <w:rsid w:val="00D04084"/>
    <w:rsid w:val="00D04145"/>
    <w:rsid w:val="00D04DDC"/>
    <w:rsid w:val="00D05085"/>
    <w:rsid w:val="00D060B2"/>
    <w:rsid w:val="00D06808"/>
    <w:rsid w:val="00D07360"/>
    <w:rsid w:val="00D07881"/>
    <w:rsid w:val="00D079B5"/>
    <w:rsid w:val="00D07CE3"/>
    <w:rsid w:val="00D10906"/>
    <w:rsid w:val="00D1153D"/>
    <w:rsid w:val="00D11ACB"/>
    <w:rsid w:val="00D12303"/>
    <w:rsid w:val="00D12801"/>
    <w:rsid w:val="00D12C95"/>
    <w:rsid w:val="00D13B12"/>
    <w:rsid w:val="00D1416F"/>
    <w:rsid w:val="00D143B7"/>
    <w:rsid w:val="00D145B5"/>
    <w:rsid w:val="00D14CCF"/>
    <w:rsid w:val="00D157D2"/>
    <w:rsid w:val="00D15C15"/>
    <w:rsid w:val="00D15D23"/>
    <w:rsid w:val="00D1620D"/>
    <w:rsid w:val="00D164AC"/>
    <w:rsid w:val="00D167AF"/>
    <w:rsid w:val="00D16A56"/>
    <w:rsid w:val="00D16FAC"/>
    <w:rsid w:val="00D17200"/>
    <w:rsid w:val="00D20667"/>
    <w:rsid w:val="00D20BDB"/>
    <w:rsid w:val="00D2132F"/>
    <w:rsid w:val="00D21334"/>
    <w:rsid w:val="00D2179A"/>
    <w:rsid w:val="00D21AF5"/>
    <w:rsid w:val="00D22127"/>
    <w:rsid w:val="00D22850"/>
    <w:rsid w:val="00D23072"/>
    <w:rsid w:val="00D23645"/>
    <w:rsid w:val="00D23A26"/>
    <w:rsid w:val="00D23BBF"/>
    <w:rsid w:val="00D242F3"/>
    <w:rsid w:val="00D245EE"/>
    <w:rsid w:val="00D251DC"/>
    <w:rsid w:val="00D255B5"/>
    <w:rsid w:val="00D25F0E"/>
    <w:rsid w:val="00D279D9"/>
    <w:rsid w:val="00D27FAC"/>
    <w:rsid w:val="00D30741"/>
    <w:rsid w:val="00D308F6"/>
    <w:rsid w:val="00D30DAC"/>
    <w:rsid w:val="00D31017"/>
    <w:rsid w:val="00D31F8C"/>
    <w:rsid w:val="00D32E66"/>
    <w:rsid w:val="00D353AD"/>
    <w:rsid w:val="00D35FED"/>
    <w:rsid w:val="00D36002"/>
    <w:rsid w:val="00D37158"/>
    <w:rsid w:val="00D37269"/>
    <w:rsid w:val="00D3775B"/>
    <w:rsid w:val="00D37AD1"/>
    <w:rsid w:val="00D37F2E"/>
    <w:rsid w:val="00D400FD"/>
    <w:rsid w:val="00D435F1"/>
    <w:rsid w:val="00D43B29"/>
    <w:rsid w:val="00D43C3B"/>
    <w:rsid w:val="00D43CD3"/>
    <w:rsid w:val="00D43D10"/>
    <w:rsid w:val="00D449B8"/>
    <w:rsid w:val="00D45396"/>
    <w:rsid w:val="00D453A4"/>
    <w:rsid w:val="00D453A7"/>
    <w:rsid w:val="00D457A5"/>
    <w:rsid w:val="00D4619B"/>
    <w:rsid w:val="00D463D0"/>
    <w:rsid w:val="00D46A1D"/>
    <w:rsid w:val="00D46A2C"/>
    <w:rsid w:val="00D46FE7"/>
    <w:rsid w:val="00D474D3"/>
    <w:rsid w:val="00D477C9"/>
    <w:rsid w:val="00D47EB0"/>
    <w:rsid w:val="00D501E0"/>
    <w:rsid w:val="00D506BE"/>
    <w:rsid w:val="00D50967"/>
    <w:rsid w:val="00D50CED"/>
    <w:rsid w:val="00D51DD6"/>
    <w:rsid w:val="00D526A1"/>
    <w:rsid w:val="00D53538"/>
    <w:rsid w:val="00D54A3F"/>
    <w:rsid w:val="00D54F9C"/>
    <w:rsid w:val="00D561EC"/>
    <w:rsid w:val="00D56AF0"/>
    <w:rsid w:val="00D60A9B"/>
    <w:rsid w:val="00D61722"/>
    <w:rsid w:val="00D619B3"/>
    <w:rsid w:val="00D62A74"/>
    <w:rsid w:val="00D62B55"/>
    <w:rsid w:val="00D62EA7"/>
    <w:rsid w:val="00D62F53"/>
    <w:rsid w:val="00D63376"/>
    <w:rsid w:val="00D63769"/>
    <w:rsid w:val="00D640CB"/>
    <w:rsid w:val="00D64A84"/>
    <w:rsid w:val="00D652C2"/>
    <w:rsid w:val="00D655E2"/>
    <w:rsid w:val="00D65983"/>
    <w:rsid w:val="00D66311"/>
    <w:rsid w:val="00D672BC"/>
    <w:rsid w:val="00D6743D"/>
    <w:rsid w:val="00D7014C"/>
    <w:rsid w:val="00D703AF"/>
    <w:rsid w:val="00D70D58"/>
    <w:rsid w:val="00D712F0"/>
    <w:rsid w:val="00D71462"/>
    <w:rsid w:val="00D715CC"/>
    <w:rsid w:val="00D71D70"/>
    <w:rsid w:val="00D72262"/>
    <w:rsid w:val="00D73572"/>
    <w:rsid w:val="00D74463"/>
    <w:rsid w:val="00D76C13"/>
    <w:rsid w:val="00D76F70"/>
    <w:rsid w:val="00D7726C"/>
    <w:rsid w:val="00D77494"/>
    <w:rsid w:val="00D77C10"/>
    <w:rsid w:val="00D80107"/>
    <w:rsid w:val="00D80A94"/>
    <w:rsid w:val="00D81275"/>
    <w:rsid w:val="00D8162A"/>
    <w:rsid w:val="00D81A36"/>
    <w:rsid w:val="00D81F8A"/>
    <w:rsid w:val="00D82279"/>
    <w:rsid w:val="00D823EA"/>
    <w:rsid w:val="00D828C4"/>
    <w:rsid w:val="00D82A59"/>
    <w:rsid w:val="00D830D4"/>
    <w:rsid w:val="00D8310D"/>
    <w:rsid w:val="00D83135"/>
    <w:rsid w:val="00D83187"/>
    <w:rsid w:val="00D8499E"/>
    <w:rsid w:val="00D85548"/>
    <w:rsid w:val="00D85685"/>
    <w:rsid w:val="00D85841"/>
    <w:rsid w:val="00D86073"/>
    <w:rsid w:val="00D876E5"/>
    <w:rsid w:val="00D87BD3"/>
    <w:rsid w:val="00D87C04"/>
    <w:rsid w:val="00D87C43"/>
    <w:rsid w:val="00D87D00"/>
    <w:rsid w:val="00D90D3C"/>
    <w:rsid w:val="00D91814"/>
    <w:rsid w:val="00D928D2"/>
    <w:rsid w:val="00D92ED4"/>
    <w:rsid w:val="00D936F0"/>
    <w:rsid w:val="00D93BB5"/>
    <w:rsid w:val="00D93D3F"/>
    <w:rsid w:val="00D94A33"/>
    <w:rsid w:val="00D95044"/>
    <w:rsid w:val="00D95DFD"/>
    <w:rsid w:val="00D96626"/>
    <w:rsid w:val="00D9672C"/>
    <w:rsid w:val="00D968D7"/>
    <w:rsid w:val="00D96990"/>
    <w:rsid w:val="00D9742B"/>
    <w:rsid w:val="00DA0051"/>
    <w:rsid w:val="00DA0325"/>
    <w:rsid w:val="00DA03C6"/>
    <w:rsid w:val="00DA0A3D"/>
    <w:rsid w:val="00DA0A7F"/>
    <w:rsid w:val="00DA128E"/>
    <w:rsid w:val="00DA231A"/>
    <w:rsid w:val="00DA27A4"/>
    <w:rsid w:val="00DA2BFA"/>
    <w:rsid w:val="00DA378B"/>
    <w:rsid w:val="00DA41F8"/>
    <w:rsid w:val="00DA5A90"/>
    <w:rsid w:val="00DA62D0"/>
    <w:rsid w:val="00DA63E6"/>
    <w:rsid w:val="00DA6620"/>
    <w:rsid w:val="00DA68A4"/>
    <w:rsid w:val="00DA6BDE"/>
    <w:rsid w:val="00DA734B"/>
    <w:rsid w:val="00DA7B8C"/>
    <w:rsid w:val="00DB01B6"/>
    <w:rsid w:val="00DB07AC"/>
    <w:rsid w:val="00DB2760"/>
    <w:rsid w:val="00DB2A76"/>
    <w:rsid w:val="00DB3268"/>
    <w:rsid w:val="00DB4305"/>
    <w:rsid w:val="00DB443B"/>
    <w:rsid w:val="00DB4638"/>
    <w:rsid w:val="00DB46C3"/>
    <w:rsid w:val="00DB4EAC"/>
    <w:rsid w:val="00DB5956"/>
    <w:rsid w:val="00DB6E43"/>
    <w:rsid w:val="00DB74C5"/>
    <w:rsid w:val="00DB7D64"/>
    <w:rsid w:val="00DB7E40"/>
    <w:rsid w:val="00DB7FA3"/>
    <w:rsid w:val="00DC00E4"/>
    <w:rsid w:val="00DC20BD"/>
    <w:rsid w:val="00DC2236"/>
    <w:rsid w:val="00DC25B3"/>
    <w:rsid w:val="00DC3AB6"/>
    <w:rsid w:val="00DC3EAF"/>
    <w:rsid w:val="00DC45A4"/>
    <w:rsid w:val="00DC4A82"/>
    <w:rsid w:val="00DC4B28"/>
    <w:rsid w:val="00DC5EAA"/>
    <w:rsid w:val="00DC6AB8"/>
    <w:rsid w:val="00DC7D92"/>
    <w:rsid w:val="00DD0376"/>
    <w:rsid w:val="00DD1B16"/>
    <w:rsid w:val="00DD1EE7"/>
    <w:rsid w:val="00DD25D8"/>
    <w:rsid w:val="00DD28F4"/>
    <w:rsid w:val="00DD2D92"/>
    <w:rsid w:val="00DD482F"/>
    <w:rsid w:val="00DD4CEF"/>
    <w:rsid w:val="00DD4FF9"/>
    <w:rsid w:val="00DD5F6F"/>
    <w:rsid w:val="00DD640B"/>
    <w:rsid w:val="00DD68F8"/>
    <w:rsid w:val="00DD6902"/>
    <w:rsid w:val="00DD6D00"/>
    <w:rsid w:val="00DD7138"/>
    <w:rsid w:val="00DE07EA"/>
    <w:rsid w:val="00DE0A42"/>
    <w:rsid w:val="00DE1A30"/>
    <w:rsid w:val="00DE2299"/>
    <w:rsid w:val="00DE2859"/>
    <w:rsid w:val="00DE5612"/>
    <w:rsid w:val="00DE599D"/>
    <w:rsid w:val="00DE5C3B"/>
    <w:rsid w:val="00DE691C"/>
    <w:rsid w:val="00DE6F30"/>
    <w:rsid w:val="00DE7403"/>
    <w:rsid w:val="00DE740A"/>
    <w:rsid w:val="00DE76C6"/>
    <w:rsid w:val="00DE7C6E"/>
    <w:rsid w:val="00DE7D37"/>
    <w:rsid w:val="00DF049E"/>
    <w:rsid w:val="00DF1CFA"/>
    <w:rsid w:val="00DF26E7"/>
    <w:rsid w:val="00DF2741"/>
    <w:rsid w:val="00DF2B42"/>
    <w:rsid w:val="00DF2CF9"/>
    <w:rsid w:val="00DF2DAB"/>
    <w:rsid w:val="00DF44E4"/>
    <w:rsid w:val="00DF4657"/>
    <w:rsid w:val="00DF4C9B"/>
    <w:rsid w:val="00DF50BF"/>
    <w:rsid w:val="00DF552B"/>
    <w:rsid w:val="00E00329"/>
    <w:rsid w:val="00E007EF"/>
    <w:rsid w:val="00E00911"/>
    <w:rsid w:val="00E01058"/>
    <w:rsid w:val="00E019A5"/>
    <w:rsid w:val="00E01AB8"/>
    <w:rsid w:val="00E01CE7"/>
    <w:rsid w:val="00E0205D"/>
    <w:rsid w:val="00E02F8C"/>
    <w:rsid w:val="00E02FC1"/>
    <w:rsid w:val="00E0331C"/>
    <w:rsid w:val="00E03403"/>
    <w:rsid w:val="00E036AE"/>
    <w:rsid w:val="00E03FE5"/>
    <w:rsid w:val="00E04188"/>
    <w:rsid w:val="00E0472E"/>
    <w:rsid w:val="00E0491E"/>
    <w:rsid w:val="00E054C5"/>
    <w:rsid w:val="00E06A82"/>
    <w:rsid w:val="00E07988"/>
    <w:rsid w:val="00E07B5F"/>
    <w:rsid w:val="00E1055E"/>
    <w:rsid w:val="00E10EE9"/>
    <w:rsid w:val="00E1197C"/>
    <w:rsid w:val="00E12DF3"/>
    <w:rsid w:val="00E13020"/>
    <w:rsid w:val="00E132C7"/>
    <w:rsid w:val="00E14161"/>
    <w:rsid w:val="00E1443C"/>
    <w:rsid w:val="00E15002"/>
    <w:rsid w:val="00E15DF9"/>
    <w:rsid w:val="00E16653"/>
    <w:rsid w:val="00E1665D"/>
    <w:rsid w:val="00E1704A"/>
    <w:rsid w:val="00E172F3"/>
    <w:rsid w:val="00E17B31"/>
    <w:rsid w:val="00E17CBE"/>
    <w:rsid w:val="00E2003F"/>
    <w:rsid w:val="00E207BB"/>
    <w:rsid w:val="00E208E9"/>
    <w:rsid w:val="00E21714"/>
    <w:rsid w:val="00E2186E"/>
    <w:rsid w:val="00E22020"/>
    <w:rsid w:val="00E237B5"/>
    <w:rsid w:val="00E240EA"/>
    <w:rsid w:val="00E24527"/>
    <w:rsid w:val="00E24690"/>
    <w:rsid w:val="00E261B8"/>
    <w:rsid w:val="00E2629B"/>
    <w:rsid w:val="00E2732C"/>
    <w:rsid w:val="00E30031"/>
    <w:rsid w:val="00E3006D"/>
    <w:rsid w:val="00E3009D"/>
    <w:rsid w:val="00E3041E"/>
    <w:rsid w:val="00E30DE6"/>
    <w:rsid w:val="00E30DF0"/>
    <w:rsid w:val="00E3148E"/>
    <w:rsid w:val="00E31842"/>
    <w:rsid w:val="00E31A40"/>
    <w:rsid w:val="00E31AB1"/>
    <w:rsid w:val="00E32049"/>
    <w:rsid w:val="00E3296D"/>
    <w:rsid w:val="00E337F3"/>
    <w:rsid w:val="00E352ED"/>
    <w:rsid w:val="00E361FA"/>
    <w:rsid w:val="00E37954"/>
    <w:rsid w:val="00E41CD8"/>
    <w:rsid w:val="00E4251D"/>
    <w:rsid w:val="00E4258B"/>
    <w:rsid w:val="00E433EF"/>
    <w:rsid w:val="00E43F9C"/>
    <w:rsid w:val="00E44945"/>
    <w:rsid w:val="00E44981"/>
    <w:rsid w:val="00E44B2E"/>
    <w:rsid w:val="00E44E81"/>
    <w:rsid w:val="00E44F36"/>
    <w:rsid w:val="00E44F72"/>
    <w:rsid w:val="00E4553B"/>
    <w:rsid w:val="00E457B8"/>
    <w:rsid w:val="00E45D90"/>
    <w:rsid w:val="00E45E6A"/>
    <w:rsid w:val="00E47115"/>
    <w:rsid w:val="00E4727E"/>
    <w:rsid w:val="00E475F4"/>
    <w:rsid w:val="00E47A50"/>
    <w:rsid w:val="00E501A7"/>
    <w:rsid w:val="00E50BD2"/>
    <w:rsid w:val="00E51406"/>
    <w:rsid w:val="00E51F4D"/>
    <w:rsid w:val="00E52E0B"/>
    <w:rsid w:val="00E53694"/>
    <w:rsid w:val="00E53AE4"/>
    <w:rsid w:val="00E53C65"/>
    <w:rsid w:val="00E54956"/>
    <w:rsid w:val="00E54C96"/>
    <w:rsid w:val="00E56164"/>
    <w:rsid w:val="00E56ED9"/>
    <w:rsid w:val="00E57395"/>
    <w:rsid w:val="00E5760F"/>
    <w:rsid w:val="00E57A55"/>
    <w:rsid w:val="00E57CAE"/>
    <w:rsid w:val="00E57F06"/>
    <w:rsid w:val="00E603F5"/>
    <w:rsid w:val="00E60F7E"/>
    <w:rsid w:val="00E620D6"/>
    <w:rsid w:val="00E62980"/>
    <w:rsid w:val="00E62AB2"/>
    <w:rsid w:val="00E63124"/>
    <w:rsid w:val="00E63403"/>
    <w:rsid w:val="00E63418"/>
    <w:rsid w:val="00E63559"/>
    <w:rsid w:val="00E644EF"/>
    <w:rsid w:val="00E64A26"/>
    <w:rsid w:val="00E64A43"/>
    <w:rsid w:val="00E6511F"/>
    <w:rsid w:val="00E656D8"/>
    <w:rsid w:val="00E66011"/>
    <w:rsid w:val="00E668E5"/>
    <w:rsid w:val="00E67144"/>
    <w:rsid w:val="00E671D0"/>
    <w:rsid w:val="00E67D7B"/>
    <w:rsid w:val="00E7088D"/>
    <w:rsid w:val="00E72064"/>
    <w:rsid w:val="00E72272"/>
    <w:rsid w:val="00E727AF"/>
    <w:rsid w:val="00E730F5"/>
    <w:rsid w:val="00E732EB"/>
    <w:rsid w:val="00E7407E"/>
    <w:rsid w:val="00E75367"/>
    <w:rsid w:val="00E75683"/>
    <w:rsid w:val="00E760DC"/>
    <w:rsid w:val="00E76812"/>
    <w:rsid w:val="00E76903"/>
    <w:rsid w:val="00E773C9"/>
    <w:rsid w:val="00E80146"/>
    <w:rsid w:val="00E81A53"/>
    <w:rsid w:val="00E81CB3"/>
    <w:rsid w:val="00E8338D"/>
    <w:rsid w:val="00E836F5"/>
    <w:rsid w:val="00E84F6F"/>
    <w:rsid w:val="00E850A3"/>
    <w:rsid w:val="00E8667D"/>
    <w:rsid w:val="00E86D13"/>
    <w:rsid w:val="00E87387"/>
    <w:rsid w:val="00E8749F"/>
    <w:rsid w:val="00E915B9"/>
    <w:rsid w:val="00E9188D"/>
    <w:rsid w:val="00E91F73"/>
    <w:rsid w:val="00E924EF"/>
    <w:rsid w:val="00E9656D"/>
    <w:rsid w:val="00E96585"/>
    <w:rsid w:val="00E97599"/>
    <w:rsid w:val="00E9759E"/>
    <w:rsid w:val="00E975D5"/>
    <w:rsid w:val="00E97715"/>
    <w:rsid w:val="00E97899"/>
    <w:rsid w:val="00E97FC8"/>
    <w:rsid w:val="00EA03DD"/>
    <w:rsid w:val="00EA0D89"/>
    <w:rsid w:val="00EA12E3"/>
    <w:rsid w:val="00EA1494"/>
    <w:rsid w:val="00EA1C3C"/>
    <w:rsid w:val="00EA2B8C"/>
    <w:rsid w:val="00EA3244"/>
    <w:rsid w:val="00EA396F"/>
    <w:rsid w:val="00EA3BB6"/>
    <w:rsid w:val="00EA3C7D"/>
    <w:rsid w:val="00EA3E85"/>
    <w:rsid w:val="00EA4DF3"/>
    <w:rsid w:val="00EA503E"/>
    <w:rsid w:val="00EA5260"/>
    <w:rsid w:val="00EA53AF"/>
    <w:rsid w:val="00EA62BF"/>
    <w:rsid w:val="00EA64EE"/>
    <w:rsid w:val="00EA694B"/>
    <w:rsid w:val="00EA7202"/>
    <w:rsid w:val="00EA7246"/>
    <w:rsid w:val="00EA7960"/>
    <w:rsid w:val="00EA7975"/>
    <w:rsid w:val="00EA7E21"/>
    <w:rsid w:val="00EB11FE"/>
    <w:rsid w:val="00EB1A0E"/>
    <w:rsid w:val="00EB1E32"/>
    <w:rsid w:val="00EB279C"/>
    <w:rsid w:val="00EB37F3"/>
    <w:rsid w:val="00EB3AA4"/>
    <w:rsid w:val="00EB54B5"/>
    <w:rsid w:val="00EB5B9E"/>
    <w:rsid w:val="00EB5BA4"/>
    <w:rsid w:val="00EB5D5C"/>
    <w:rsid w:val="00EB5E13"/>
    <w:rsid w:val="00EB611D"/>
    <w:rsid w:val="00EB6A70"/>
    <w:rsid w:val="00EB6A79"/>
    <w:rsid w:val="00EB727B"/>
    <w:rsid w:val="00EB75A9"/>
    <w:rsid w:val="00EB7A2C"/>
    <w:rsid w:val="00EB7B60"/>
    <w:rsid w:val="00EB7E0E"/>
    <w:rsid w:val="00EB7F7A"/>
    <w:rsid w:val="00EC0DE9"/>
    <w:rsid w:val="00EC1082"/>
    <w:rsid w:val="00EC11F7"/>
    <w:rsid w:val="00EC1D1B"/>
    <w:rsid w:val="00EC1D3E"/>
    <w:rsid w:val="00EC3431"/>
    <w:rsid w:val="00EC3518"/>
    <w:rsid w:val="00EC36FC"/>
    <w:rsid w:val="00EC4164"/>
    <w:rsid w:val="00EC4F00"/>
    <w:rsid w:val="00EC5593"/>
    <w:rsid w:val="00EC6286"/>
    <w:rsid w:val="00EC71C9"/>
    <w:rsid w:val="00EC732E"/>
    <w:rsid w:val="00EC748D"/>
    <w:rsid w:val="00EC776E"/>
    <w:rsid w:val="00ED0434"/>
    <w:rsid w:val="00ED0D1E"/>
    <w:rsid w:val="00ED0FAA"/>
    <w:rsid w:val="00ED2217"/>
    <w:rsid w:val="00ED24F6"/>
    <w:rsid w:val="00ED28A7"/>
    <w:rsid w:val="00ED2997"/>
    <w:rsid w:val="00ED37D9"/>
    <w:rsid w:val="00ED4041"/>
    <w:rsid w:val="00ED40E2"/>
    <w:rsid w:val="00ED5574"/>
    <w:rsid w:val="00ED5F5E"/>
    <w:rsid w:val="00ED6606"/>
    <w:rsid w:val="00ED683B"/>
    <w:rsid w:val="00ED6A8B"/>
    <w:rsid w:val="00ED7E8D"/>
    <w:rsid w:val="00ED7EC8"/>
    <w:rsid w:val="00EE0D9E"/>
    <w:rsid w:val="00EE0EC7"/>
    <w:rsid w:val="00EE0FE4"/>
    <w:rsid w:val="00EE159A"/>
    <w:rsid w:val="00EE1C5C"/>
    <w:rsid w:val="00EE212B"/>
    <w:rsid w:val="00EE2C4B"/>
    <w:rsid w:val="00EE2FCD"/>
    <w:rsid w:val="00EE3345"/>
    <w:rsid w:val="00EE3AC9"/>
    <w:rsid w:val="00EE3ADD"/>
    <w:rsid w:val="00EE5E4F"/>
    <w:rsid w:val="00EE6727"/>
    <w:rsid w:val="00EE6B06"/>
    <w:rsid w:val="00EE7305"/>
    <w:rsid w:val="00EF3314"/>
    <w:rsid w:val="00EF4160"/>
    <w:rsid w:val="00EF4F0A"/>
    <w:rsid w:val="00EF4F0B"/>
    <w:rsid w:val="00EF51F2"/>
    <w:rsid w:val="00EF56A1"/>
    <w:rsid w:val="00EF64E6"/>
    <w:rsid w:val="00EF65E3"/>
    <w:rsid w:val="00EF6B9B"/>
    <w:rsid w:val="00F00341"/>
    <w:rsid w:val="00F00476"/>
    <w:rsid w:val="00F00A55"/>
    <w:rsid w:val="00F00F51"/>
    <w:rsid w:val="00F016AA"/>
    <w:rsid w:val="00F0184E"/>
    <w:rsid w:val="00F02529"/>
    <w:rsid w:val="00F028B9"/>
    <w:rsid w:val="00F03A8F"/>
    <w:rsid w:val="00F03AE0"/>
    <w:rsid w:val="00F03B9B"/>
    <w:rsid w:val="00F03FBF"/>
    <w:rsid w:val="00F048BE"/>
    <w:rsid w:val="00F0497E"/>
    <w:rsid w:val="00F052EA"/>
    <w:rsid w:val="00F05500"/>
    <w:rsid w:val="00F05C0C"/>
    <w:rsid w:val="00F05CE5"/>
    <w:rsid w:val="00F06C44"/>
    <w:rsid w:val="00F06FBE"/>
    <w:rsid w:val="00F1020A"/>
    <w:rsid w:val="00F10F13"/>
    <w:rsid w:val="00F11F96"/>
    <w:rsid w:val="00F11FD7"/>
    <w:rsid w:val="00F12102"/>
    <w:rsid w:val="00F12AB7"/>
    <w:rsid w:val="00F130BA"/>
    <w:rsid w:val="00F13245"/>
    <w:rsid w:val="00F13D1C"/>
    <w:rsid w:val="00F1445C"/>
    <w:rsid w:val="00F14D4A"/>
    <w:rsid w:val="00F15BCC"/>
    <w:rsid w:val="00F1656B"/>
    <w:rsid w:val="00F172DA"/>
    <w:rsid w:val="00F17392"/>
    <w:rsid w:val="00F1757A"/>
    <w:rsid w:val="00F176D7"/>
    <w:rsid w:val="00F179BC"/>
    <w:rsid w:val="00F17F6A"/>
    <w:rsid w:val="00F21620"/>
    <w:rsid w:val="00F217AC"/>
    <w:rsid w:val="00F21AFE"/>
    <w:rsid w:val="00F22A97"/>
    <w:rsid w:val="00F2567E"/>
    <w:rsid w:val="00F25F14"/>
    <w:rsid w:val="00F26081"/>
    <w:rsid w:val="00F26302"/>
    <w:rsid w:val="00F27F06"/>
    <w:rsid w:val="00F3138E"/>
    <w:rsid w:val="00F31EC0"/>
    <w:rsid w:val="00F33648"/>
    <w:rsid w:val="00F336AD"/>
    <w:rsid w:val="00F33D85"/>
    <w:rsid w:val="00F341F7"/>
    <w:rsid w:val="00F345E5"/>
    <w:rsid w:val="00F34798"/>
    <w:rsid w:val="00F34BCF"/>
    <w:rsid w:val="00F34E3C"/>
    <w:rsid w:val="00F3515F"/>
    <w:rsid w:val="00F35B40"/>
    <w:rsid w:val="00F35F26"/>
    <w:rsid w:val="00F37303"/>
    <w:rsid w:val="00F3730E"/>
    <w:rsid w:val="00F37528"/>
    <w:rsid w:val="00F37724"/>
    <w:rsid w:val="00F378CC"/>
    <w:rsid w:val="00F37942"/>
    <w:rsid w:val="00F37DAD"/>
    <w:rsid w:val="00F400CE"/>
    <w:rsid w:val="00F404E2"/>
    <w:rsid w:val="00F406BE"/>
    <w:rsid w:val="00F40FD6"/>
    <w:rsid w:val="00F410B2"/>
    <w:rsid w:val="00F4175E"/>
    <w:rsid w:val="00F41966"/>
    <w:rsid w:val="00F41E30"/>
    <w:rsid w:val="00F41FD5"/>
    <w:rsid w:val="00F423D6"/>
    <w:rsid w:val="00F42ACF"/>
    <w:rsid w:val="00F4310D"/>
    <w:rsid w:val="00F4364D"/>
    <w:rsid w:val="00F44141"/>
    <w:rsid w:val="00F44BE8"/>
    <w:rsid w:val="00F464AE"/>
    <w:rsid w:val="00F46C84"/>
    <w:rsid w:val="00F46F9E"/>
    <w:rsid w:val="00F475E9"/>
    <w:rsid w:val="00F503A6"/>
    <w:rsid w:val="00F50812"/>
    <w:rsid w:val="00F510D3"/>
    <w:rsid w:val="00F516C3"/>
    <w:rsid w:val="00F52857"/>
    <w:rsid w:val="00F52C8A"/>
    <w:rsid w:val="00F53BD5"/>
    <w:rsid w:val="00F53CBD"/>
    <w:rsid w:val="00F53E25"/>
    <w:rsid w:val="00F53E82"/>
    <w:rsid w:val="00F5456C"/>
    <w:rsid w:val="00F545EB"/>
    <w:rsid w:val="00F55E4A"/>
    <w:rsid w:val="00F55ED5"/>
    <w:rsid w:val="00F564CE"/>
    <w:rsid w:val="00F56DFC"/>
    <w:rsid w:val="00F576EC"/>
    <w:rsid w:val="00F60834"/>
    <w:rsid w:val="00F60D7F"/>
    <w:rsid w:val="00F610D7"/>
    <w:rsid w:val="00F61138"/>
    <w:rsid w:val="00F622BC"/>
    <w:rsid w:val="00F632C1"/>
    <w:rsid w:val="00F6338A"/>
    <w:rsid w:val="00F64269"/>
    <w:rsid w:val="00F65963"/>
    <w:rsid w:val="00F65E83"/>
    <w:rsid w:val="00F660F8"/>
    <w:rsid w:val="00F66B11"/>
    <w:rsid w:val="00F67BF1"/>
    <w:rsid w:val="00F707C1"/>
    <w:rsid w:val="00F70AA3"/>
    <w:rsid w:val="00F70F55"/>
    <w:rsid w:val="00F71A88"/>
    <w:rsid w:val="00F7252C"/>
    <w:rsid w:val="00F72A66"/>
    <w:rsid w:val="00F7330C"/>
    <w:rsid w:val="00F73900"/>
    <w:rsid w:val="00F7422A"/>
    <w:rsid w:val="00F74256"/>
    <w:rsid w:val="00F74278"/>
    <w:rsid w:val="00F7527C"/>
    <w:rsid w:val="00F753D2"/>
    <w:rsid w:val="00F76049"/>
    <w:rsid w:val="00F77155"/>
    <w:rsid w:val="00F777C6"/>
    <w:rsid w:val="00F801C9"/>
    <w:rsid w:val="00F81C2D"/>
    <w:rsid w:val="00F81C9C"/>
    <w:rsid w:val="00F8202C"/>
    <w:rsid w:val="00F82604"/>
    <w:rsid w:val="00F8260B"/>
    <w:rsid w:val="00F82A0F"/>
    <w:rsid w:val="00F82EEC"/>
    <w:rsid w:val="00F836E5"/>
    <w:rsid w:val="00F8449D"/>
    <w:rsid w:val="00F851A6"/>
    <w:rsid w:val="00F852CD"/>
    <w:rsid w:val="00F854BB"/>
    <w:rsid w:val="00F85D48"/>
    <w:rsid w:val="00F865FB"/>
    <w:rsid w:val="00F87174"/>
    <w:rsid w:val="00F87DF7"/>
    <w:rsid w:val="00F90093"/>
    <w:rsid w:val="00F9093A"/>
    <w:rsid w:val="00F909E6"/>
    <w:rsid w:val="00F90E34"/>
    <w:rsid w:val="00F9144A"/>
    <w:rsid w:val="00F91A6F"/>
    <w:rsid w:val="00F92202"/>
    <w:rsid w:val="00F94182"/>
    <w:rsid w:val="00F944B7"/>
    <w:rsid w:val="00F944D3"/>
    <w:rsid w:val="00F946BB"/>
    <w:rsid w:val="00F94EA2"/>
    <w:rsid w:val="00F95032"/>
    <w:rsid w:val="00F95459"/>
    <w:rsid w:val="00F95608"/>
    <w:rsid w:val="00F959EC"/>
    <w:rsid w:val="00F95ACB"/>
    <w:rsid w:val="00F95E5D"/>
    <w:rsid w:val="00F966E4"/>
    <w:rsid w:val="00FA0623"/>
    <w:rsid w:val="00FA068E"/>
    <w:rsid w:val="00FA076F"/>
    <w:rsid w:val="00FA15B2"/>
    <w:rsid w:val="00FA1F59"/>
    <w:rsid w:val="00FA25A7"/>
    <w:rsid w:val="00FA315F"/>
    <w:rsid w:val="00FA4448"/>
    <w:rsid w:val="00FA4A07"/>
    <w:rsid w:val="00FA523F"/>
    <w:rsid w:val="00FA53B2"/>
    <w:rsid w:val="00FA584C"/>
    <w:rsid w:val="00FA59C0"/>
    <w:rsid w:val="00FA6486"/>
    <w:rsid w:val="00FA6613"/>
    <w:rsid w:val="00FA671F"/>
    <w:rsid w:val="00FA6807"/>
    <w:rsid w:val="00FA6B7D"/>
    <w:rsid w:val="00FA704C"/>
    <w:rsid w:val="00FA746D"/>
    <w:rsid w:val="00FB072E"/>
    <w:rsid w:val="00FB07E7"/>
    <w:rsid w:val="00FB0A37"/>
    <w:rsid w:val="00FB17DA"/>
    <w:rsid w:val="00FB1D9E"/>
    <w:rsid w:val="00FB2A0F"/>
    <w:rsid w:val="00FB2D62"/>
    <w:rsid w:val="00FB35D9"/>
    <w:rsid w:val="00FB4907"/>
    <w:rsid w:val="00FB49E5"/>
    <w:rsid w:val="00FB4EA1"/>
    <w:rsid w:val="00FB5508"/>
    <w:rsid w:val="00FB586C"/>
    <w:rsid w:val="00FB5CA5"/>
    <w:rsid w:val="00FB64D2"/>
    <w:rsid w:val="00FB79A4"/>
    <w:rsid w:val="00FC155C"/>
    <w:rsid w:val="00FC1CF1"/>
    <w:rsid w:val="00FC1F8D"/>
    <w:rsid w:val="00FC1FD0"/>
    <w:rsid w:val="00FC2508"/>
    <w:rsid w:val="00FC2B99"/>
    <w:rsid w:val="00FC2BE1"/>
    <w:rsid w:val="00FC2C6E"/>
    <w:rsid w:val="00FC38AB"/>
    <w:rsid w:val="00FC3F9F"/>
    <w:rsid w:val="00FC4AC5"/>
    <w:rsid w:val="00FC53A0"/>
    <w:rsid w:val="00FC5A84"/>
    <w:rsid w:val="00FC5FD3"/>
    <w:rsid w:val="00FC6D5A"/>
    <w:rsid w:val="00FC74C0"/>
    <w:rsid w:val="00FD1252"/>
    <w:rsid w:val="00FD1F25"/>
    <w:rsid w:val="00FD3381"/>
    <w:rsid w:val="00FD38C2"/>
    <w:rsid w:val="00FD3915"/>
    <w:rsid w:val="00FD3E7A"/>
    <w:rsid w:val="00FD4B56"/>
    <w:rsid w:val="00FD5037"/>
    <w:rsid w:val="00FD5568"/>
    <w:rsid w:val="00FD5AC0"/>
    <w:rsid w:val="00FD5D86"/>
    <w:rsid w:val="00FD6342"/>
    <w:rsid w:val="00FD6574"/>
    <w:rsid w:val="00FD67D3"/>
    <w:rsid w:val="00FD6C7A"/>
    <w:rsid w:val="00FD7239"/>
    <w:rsid w:val="00FE045E"/>
    <w:rsid w:val="00FE11DD"/>
    <w:rsid w:val="00FE181D"/>
    <w:rsid w:val="00FE1A6F"/>
    <w:rsid w:val="00FE1C3A"/>
    <w:rsid w:val="00FE2DB4"/>
    <w:rsid w:val="00FE321D"/>
    <w:rsid w:val="00FE42A3"/>
    <w:rsid w:val="00FE4761"/>
    <w:rsid w:val="00FE50D0"/>
    <w:rsid w:val="00FE546F"/>
    <w:rsid w:val="00FE5C32"/>
    <w:rsid w:val="00FE5DC9"/>
    <w:rsid w:val="00FE6CF7"/>
    <w:rsid w:val="00FE6F63"/>
    <w:rsid w:val="00FE72FD"/>
    <w:rsid w:val="00FF0146"/>
    <w:rsid w:val="00FF0159"/>
    <w:rsid w:val="00FF0411"/>
    <w:rsid w:val="00FF0DD1"/>
    <w:rsid w:val="00FF1740"/>
    <w:rsid w:val="00FF178D"/>
    <w:rsid w:val="00FF23BD"/>
    <w:rsid w:val="00FF29AB"/>
    <w:rsid w:val="00FF60E8"/>
    <w:rsid w:val="00FF619D"/>
    <w:rsid w:val="00FF62F9"/>
    <w:rsid w:val="00FF6301"/>
    <w:rsid w:val="00FF64E6"/>
    <w:rsid w:val="00FF68F8"/>
    <w:rsid w:val="00FF7005"/>
    <w:rsid w:val="00FF7990"/>
    <w:rsid w:val="00FF7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8369"/>
    <o:shapelayout v:ext="edit">
      <o:idmap v:ext="edit" data="1"/>
    </o:shapelayout>
  </w:shapeDefaults>
  <w:decimalSymbol w:val=","/>
  <w:listSeparator w:val=";"/>
  <w14:docId w14:val="15D86360"/>
  <w15:docId w15:val="{33ABD979-5F6B-4197-B604-AA717ED2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2B7"/>
  </w:style>
  <w:style w:type="paragraph" w:styleId="Heading1">
    <w:name w:val="heading 1"/>
    <w:basedOn w:val="Normal"/>
    <w:next w:val="Normal"/>
    <w:link w:val="Heading1Char"/>
    <w:uiPriority w:val="9"/>
    <w:qFormat/>
    <w:rsid w:val="00AE6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6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5BD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672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FD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E6FDC"/>
    <w:pPr>
      <w:outlineLvl w:val="9"/>
    </w:pPr>
    <w:rPr>
      <w:lang w:val="en-US" w:eastAsia="ja-JP"/>
    </w:rPr>
  </w:style>
  <w:style w:type="paragraph" w:styleId="BalloonText">
    <w:name w:val="Balloon Text"/>
    <w:basedOn w:val="Normal"/>
    <w:link w:val="BalloonTextChar"/>
    <w:uiPriority w:val="99"/>
    <w:semiHidden/>
    <w:unhideWhenUsed/>
    <w:rsid w:val="00AE6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FDC"/>
    <w:rPr>
      <w:rFonts w:ascii="Tahoma" w:hAnsi="Tahoma" w:cs="Tahoma"/>
      <w:sz w:val="16"/>
      <w:szCs w:val="16"/>
    </w:rPr>
  </w:style>
  <w:style w:type="paragraph" w:styleId="ListParagraph">
    <w:name w:val="List Paragraph"/>
    <w:aliases w:val="Heading next,Colorful List - Accent 11"/>
    <w:basedOn w:val="Normal"/>
    <w:link w:val="ListParagraphChar"/>
    <w:uiPriority w:val="34"/>
    <w:qFormat/>
    <w:rsid w:val="00AE6FDC"/>
    <w:pPr>
      <w:ind w:left="720"/>
      <w:contextualSpacing/>
    </w:pPr>
  </w:style>
  <w:style w:type="character" w:customStyle="1" w:styleId="Heading2Char">
    <w:name w:val="Heading 2 Char"/>
    <w:basedOn w:val="DefaultParagraphFont"/>
    <w:link w:val="Heading2"/>
    <w:uiPriority w:val="9"/>
    <w:rsid w:val="00AE6FDC"/>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E6F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6FD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E6F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E6FDC"/>
    <w:rPr>
      <w:rFonts w:asciiTheme="majorHAnsi" w:eastAsiaTheme="majorEastAsia" w:hAnsiTheme="majorHAnsi" w:cstheme="majorBidi"/>
      <w:i/>
      <w:iCs/>
      <w:color w:val="4F81BD" w:themeColor="accent1"/>
      <w:spacing w:val="15"/>
      <w:sz w:val="24"/>
      <w:szCs w:val="24"/>
    </w:rPr>
  </w:style>
  <w:style w:type="paragraph" w:styleId="TOC1">
    <w:name w:val="toc 1"/>
    <w:basedOn w:val="Normal"/>
    <w:next w:val="Normal"/>
    <w:autoRedefine/>
    <w:uiPriority w:val="39"/>
    <w:unhideWhenUsed/>
    <w:rsid w:val="002E3734"/>
    <w:pPr>
      <w:tabs>
        <w:tab w:val="left" w:pos="440"/>
        <w:tab w:val="right" w:leader="dot" w:pos="9062"/>
      </w:tabs>
      <w:spacing w:after="100" w:line="240" w:lineRule="auto"/>
    </w:pPr>
  </w:style>
  <w:style w:type="paragraph" w:styleId="TOC2">
    <w:name w:val="toc 2"/>
    <w:basedOn w:val="Normal"/>
    <w:next w:val="Normal"/>
    <w:autoRedefine/>
    <w:uiPriority w:val="39"/>
    <w:unhideWhenUsed/>
    <w:rsid w:val="002E3734"/>
    <w:pPr>
      <w:tabs>
        <w:tab w:val="left" w:pos="880"/>
        <w:tab w:val="right" w:leader="dot" w:pos="9062"/>
      </w:tabs>
      <w:spacing w:after="0"/>
      <w:ind w:left="221"/>
    </w:pPr>
  </w:style>
  <w:style w:type="character" w:styleId="Hyperlink">
    <w:name w:val="Hyperlink"/>
    <w:basedOn w:val="DefaultParagraphFont"/>
    <w:uiPriority w:val="99"/>
    <w:unhideWhenUsed/>
    <w:rsid w:val="00AE6FDC"/>
    <w:rPr>
      <w:color w:val="0000FF" w:themeColor="hyperlink"/>
      <w:u w:val="single"/>
    </w:rPr>
  </w:style>
  <w:style w:type="paragraph" w:styleId="Header">
    <w:name w:val="header"/>
    <w:basedOn w:val="Normal"/>
    <w:link w:val="HeaderChar"/>
    <w:uiPriority w:val="99"/>
    <w:unhideWhenUsed/>
    <w:rsid w:val="007C1F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1F4F"/>
  </w:style>
  <w:style w:type="paragraph" w:styleId="Footer">
    <w:name w:val="footer"/>
    <w:basedOn w:val="Normal"/>
    <w:link w:val="FooterChar"/>
    <w:uiPriority w:val="99"/>
    <w:unhideWhenUsed/>
    <w:rsid w:val="007C1F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1F4F"/>
  </w:style>
  <w:style w:type="character" w:styleId="PageNumber">
    <w:name w:val="page number"/>
    <w:basedOn w:val="DefaultParagraphFont"/>
    <w:uiPriority w:val="99"/>
    <w:unhideWhenUsed/>
    <w:rsid w:val="00E15002"/>
  </w:style>
  <w:style w:type="character" w:styleId="CommentReference">
    <w:name w:val="annotation reference"/>
    <w:basedOn w:val="DefaultParagraphFont"/>
    <w:uiPriority w:val="99"/>
    <w:semiHidden/>
    <w:unhideWhenUsed/>
    <w:rsid w:val="00095587"/>
    <w:rPr>
      <w:sz w:val="16"/>
      <w:szCs w:val="16"/>
    </w:rPr>
  </w:style>
  <w:style w:type="paragraph" w:styleId="CommentText">
    <w:name w:val="annotation text"/>
    <w:basedOn w:val="Normal"/>
    <w:link w:val="CommentTextChar"/>
    <w:uiPriority w:val="99"/>
    <w:semiHidden/>
    <w:unhideWhenUsed/>
    <w:rsid w:val="00095587"/>
    <w:pPr>
      <w:spacing w:line="240" w:lineRule="auto"/>
    </w:pPr>
    <w:rPr>
      <w:sz w:val="20"/>
      <w:szCs w:val="20"/>
    </w:rPr>
  </w:style>
  <w:style w:type="character" w:customStyle="1" w:styleId="CommentTextChar">
    <w:name w:val="Comment Text Char"/>
    <w:basedOn w:val="DefaultParagraphFont"/>
    <w:link w:val="CommentText"/>
    <w:uiPriority w:val="99"/>
    <w:semiHidden/>
    <w:rsid w:val="00095587"/>
    <w:rPr>
      <w:sz w:val="20"/>
      <w:szCs w:val="20"/>
    </w:rPr>
  </w:style>
  <w:style w:type="paragraph" w:styleId="FootnoteText">
    <w:name w:val="footnote text"/>
    <w:aliases w:val="Tekst fusnote Char2 Char,Tekst fusnote Char1 Char1 Char,Tekst fusnote Char Char Char1 Char,Tekst fusnote Char1 Char Char Char Char,Tekst fusnote Char Char Char Char Char Char,Tekst fusnote Char Char1 Char Char,fn,Fußnote"/>
    <w:basedOn w:val="Normal"/>
    <w:link w:val="FootnoteTextChar"/>
    <w:uiPriority w:val="99"/>
    <w:rsid w:val="00065BDD"/>
    <w:rPr>
      <w:rFonts w:ascii="Calibri" w:eastAsia="Calibri" w:hAnsi="Calibri" w:cs="Times New Roman"/>
      <w:sz w:val="20"/>
      <w:szCs w:val="20"/>
      <w:lang w:val="hr-HR"/>
    </w:rPr>
  </w:style>
  <w:style w:type="character" w:customStyle="1" w:styleId="FootnoteTextChar">
    <w:name w:val="Footnote Text Char"/>
    <w:aliases w:val="Tekst fusnote Char2 Char Char,Tekst fusnote Char1 Char1 Char Char,Tekst fusnote Char Char Char1 Char Char,Tekst fusnote Char1 Char Char Char Char Char,Tekst fusnote Char Char Char Char Char Char Char,fn Char,Fußnote Char"/>
    <w:basedOn w:val="DefaultParagraphFont"/>
    <w:link w:val="FootnoteText"/>
    <w:uiPriority w:val="99"/>
    <w:rsid w:val="00065BDD"/>
    <w:rPr>
      <w:rFonts w:ascii="Calibri" w:eastAsia="Calibri" w:hAnsi="Calibri" w:cs="Times New Roman"/>
      <w:sz w:val="20"/>
      <w:szCs w:val="20"/>
      <w:lang w:val="hr-HR"/>
    </w:rPr>
  </w:style>
  <w:style w:type="character" w:styleId="FootnoteReference">
    <w:name w:val="footnote reference"/>
    <w:aliases w:val="BVI fnr,16 Point,Superscript 6 Point"/>
    <w:basedOn w:val="DefaultParagraphFont"/>
    <w:uiPriority w:val="99"/>
    <w:rsid w:val="00065BDD"/>
    <w:rPr>
      <w:rFonts w:cs="Times New Roman"/>
      <w:vertAlign w:val="superscript"/>
    </w:rPr>
  </w:style>
  <w:style w:type="character" w:customStyle="1" w:styleId="Heading3Char">
    <w:name w:val="Heading 3 Char"/>
    <w:basedOn w:val="DefaultParagraphFont"/>
    <w:link w:val="Heading3"/>
    <w:uiPriority w:val="9"/>
    <w:rsid w:val="00065BDD"/>
    <w:rPr>
      <w:rFonts w:asciiTheme="majorHAnsi" w:eastAsiaTheme="majorEastAsia" w:hAnsiTheme="majorHAnsi" w:cstheme="majorBidi"/>
      <w:b/>
      <w:bCs/>
      <w:color w:val="4F81BD" w:themeColor="accent1"/>
    </w:rPr>
  </w:style>
  <w:style w:type="paragraph" w:styleId="Caption">
    <w:name w:val="caption"/>
    <w:basedOn w:val="Normal"/>
    <w:next w:val="Normal"/>
    <w:uiPriority w:val="35"/>
    <w:qFormat/>
    <w:rsid w:val="009132D0"/>
    <w:pPr>
      <w:spacing w:after="0" w:line="240" w:lineRule="auto"/>
    </w:pPr>
    <w:rPr>
      <w:rFonts w:ascii="Times New Roman" w:eastAsia="MS Mincho" w:hAnsi="Times New Roman" w:cs="Times New Roman"/>
      <w:b/>
      <w:bCs/>
      <w:sz w:val="20"/>
      <w:szCs w:val="20"/>
      <w:lang w:val="hr-HR" w:eastAsia="ja-JP"/>
    </w:rPr>
  </w:style>
  <w:style w:type="character" w:styleId="Emphasis">
    <w:name w:val="Emphasis"/>
    <w:basedOn w:val="DefaultParagraphFont"/>
    <w:uiPriority w:val="20"/>
    <w:qFormat/>
    <w:rsid w:val="008D43BB"/>
    <w:rPr>
      <w:i/>
      <w:iCs/>
    </w:rPr>
  </w:style>
  <w:style w:type="paragraph" w:styleId="TableofFigures">
    <w:name w:val="table of figures"/>
    <w:basedOn w:val="Normal"/>
    <w:next w:val="Normal"/>
    <w:uiPriority w:val="99"/>
    <w:unhideWhenUsed/>
    <w:rsid w:val="008D43BB"/>
    <w:pPr>
      <w:spacing w:after="0"/>
    </w:pPr>
  </w:style>
  <w:style w:type="paragraph" w:styleId="CommentSubject">
    <w:name w:val="annotation subject"/>
    <w:basedOn w:val="CommentText"/>
    <w:next w:val="CommentText"/>
    <w:link w:val="CommentSubjectChar"/>
    <w:uiPriority w:val="99"/>
    <w:semiHidden/>
    <w:unhideWhenUsed/>
    <w:rsid w:val="00B071C8"/>
    <w:rPr>
      <w:b/>
      <w:bCs/>
    </w:rPr>
  </w:style>
  <w:style w:type="character" w:customStyle="1" w:styleId="CommentSubjectChar">
    <w:name w:val="Comment Subject Char"/>
    <w:basedOn w:val="CommentTextChar"/>
    <w:link w:val="CommentSubject"/>
    <w:uiPriority w:val="99"/>
    <w:semiHidden/>
    <w:rsid w:val="00B071C8"/>
    <w:rPr>
      <w:b/>
      <w:bCs/>
      <w:sz w:val="20"/>
      <w:szCs w:val="20"/>
    </w:rPr>
  </w:style>
  <w:style w:type="paragraph" w:customStyle="1" w:styleId="Tekstlanka">
    <w:name w:val="Tekst članka"/>
    <w:basedOn w:val="Normal"/>
    <w:rsid w:val="00EA2B8C"/>
    <w:pPr>
      <w:widowControl w:val="0"/>
      <w:adjustRightInd w:val="0"/>
      <w:spacing w:after="0" w:line="360" w:lineRule="auto"/>
      <w:jc w:val="both"/>
      <w:textAlignment w:val="baseline"/>
    </w:pPr>
    <w:rPr>
      <w:rFonts w:ascii="Times New Roman" w:eastAsia="Times New Roman" w:hAnsi="Times New Roman" w:cs="Times New Roman"/>
      <w:sz w:val="24"/>
      <w:szCs w:val="24"/>
      <w:lang w:val="hr-HR" w:eastAsia="hr-HR"/>
    </w:rPr>
  </w:style>
  <w:style w:type="character" w:styleId="Strong">
    <w:name w:val="Strong"/>
    <w:basedOn w:val="DefaultParagraphFont"/>
    <w:uiPriority w:val="22"/>
    <w:qFormat/>
    <w:rsid w:val="00A05BD3"/>
    <w:rPr>
      <w:b/>
      <w:bCs/>
    </w:rPr>
  </w:style>
  <w:style w:type="paragraph" w:styleId="Index1">
    <w:name w:val="index 1"/>
    <w:basedOn w:val="Normal"/>
    <w:next w:val="Normal"/>
    <w:autoRedefine/>
    <w:uiPriority w:val="99"/>
    <w:semiHidden/>
    <w:unhideWhenUsed/>
    <w:rsid w:val="00EC1D1B"/>
    <w:pPr>
      <w:spacing w:after="0" w:line="240" w:lineRule="auto"/>
      <w:ind w:left="220" w:hanging="220"/>
    </w:pPr>
  </w:style>
  <w:style w:type="table" w:styleId="TableGrid">
    <w:name w:val="Table Grid"/>
    <w:basedOn w:val="TableNormal"/>
    <w:rsid w:val="00AC030A"/>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1025"/>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bidi="ta-IN"/>
    </w:rPr>
  </w:style>
  <w:style w:type="paragraph" w:styleId="TOC3">
    <w:name w:val="toc 3"/>
    <w:basedOn w:val="Normal"/>
    <w:next w:val="Normal"/>
    <w:autoRedefine/>
    <w:uiPriority w:val="39"/>
    <w:unhideWhenUsed/>
    <w:rsid w:val="00A55A21"/>
    <w:pPr>
      <w:spacing w:after="100"/>
      <w:ind w:left="440"/>
    </w:pPr>
  </w:style>
  <w:style w:type="paragraph" w:styleId="IntenseQuote">
    <w:name w:val="Intense Quote"/>
    <w:basedOn w:val="Normal"/>
    <w:next w:val="Normal"/>
    <w:link w:val="IntenseQuoteChar"/>
    <w:uiPriority w:val="30"/>
    <w:qFormat/>
    <w:rsid w:val="00EF56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56A1"/>
    <w:rPr>
      <w:b/>
      <w:bCs/>
      <w:i/>
      <w:iCs/>
      <w:color w:val="4F81BD" w:themeColor="accent1"/>
    </w:rPr>
  </w:style>
  <w:style w:type="paragraph" w:styleId="NormalWeb">
    <w:name w:val="Normal (Web)"/>
    <w:basedOn w:val="Normal"/>
    <w:uiPriority w:val="99"/>
    <w:semiHidden/>
    <w:unhideWhenUsed/>
    <w:rsid w:val="00AF2D55"/>
    <w:pPr>
      <w:spacing w:after="0" w:line="240" w:lineRule="auto"/>
    </w:pPr>
    <w:rPr>
      <w:rFonts w:ascii="Times New Roman" w:eastAsia="Times New Roman" w:hAnsi="Times New Roman" w:cs="Times New Roman"/>
      <w:sz w:val="24"/>
      <w:szCs w:val="24"/>
      <w:lang w:val="hr-HR" w:eastAsia="hr-HR"/>
    </w:rPr>
  </w:style>
  <w:style w:type="paragraph" w:styleId="PlainText">
    <w:name w:val="Plain Text"/>
    <w:basedOn w:val="Normal"/>
    <w:link w:val="PlainTextChar"/>
    <w:rsid w:val="007A7271"/>
    <w:pPr>
      <w:spacing w:after="0" w:line="240" w:lineRule="auto"/>
    </w:pPr>
    <w:rPr>
      <w:rFonts w:ascii="Consolas" w:eastAsia="Times New Roman" w:hAnsi="Consolas" w:cs="Consolas"/>
      <w:sz w:val="21"/>
      <w:szCs w:val="21"/>
      <w:lang w:val="hr-HR"/>
    </w:rPr>
  </w:style>
  <w:style w:type="character" w:customStyle="1" w:styleId="PlainTextChar">
    <w:name w:val="Plain Text Char"/>
    <w:basedOn w:val="DefaultParagraphFont"/>
    <w:link w:val="PlainText"/>
    <w:rsid w:val="007A7271"/>
    <w:rPr>
      <w:rFonts w:ascii="Consolas" w:eastAsia="Times New Roman" w:hAnsi="Consolas" w:cs="Consolas"/>
      <w:sz w:val="21"/>
      <w:szCs w:val="21"/>
      <w:lang w:val="hr-HR"/>
    </w:rPr>
  </w:style>
  <w:style w:type="character" w:customStyle="1" w:styleId="Heading4Char">
    <w:name w:val="Heading 4 Char"/>
    <w:basedOn w:val="DefaultParagraphFont"/>
    <w:link w:val="Heading4"/>
    <w:uiPriority w:val="9"/>
    <w:semiHidden/>
    <w:rsid w:val="004672C8"/>
    <w:rPr>
      <w:rFonts w:asciiTheme="majorHAnsi" w:eastAsiaTheme="majorEastAsia" w:hAnsiTheme="majorHAnsi" w:cstheme="majorBidi"/>
      <w:b/>
      <w:bCs/>
      <w:i/>
      <w:iCs/>
      <w:color w:val="4F81BD" w:themeColor="accent1"/>
    </w:rPr>
  </w:style>
  <w:style w:type="paragraph" w:customStyle="1" w:styleId="t-9-8">
    <w:name w:val="t-9-8"/>
    <w:basedOn w:val="Normal"/>
    <w:rsid w:val="00A830B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ListParagraphChar">
    <w:name w:val="List Paragraph Char"/>
    <w:aliases w:val="Heading next Char,Colorful List - Accent 11 Char"/>
    <w:link w:val="ListParagraph"/>
    <w:uiPriority w:val="34"/>
    <w:locked/>
    <w:rsid w:val="005F29C4"/>
  </w:style>
  <w:style w:type="paragraph" w:styleId="BodyText">
    <w:name w:val="Body Text"/>
    <w:basedOn w:val="Normal"/>
    <w:link w:val="BodyTextChar"/>
    <w:rsid w:val="00BB6C59"/>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BB6C5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588">
      <w:bodyDiv w:val="1"/>
      <w:marLeft w:val="0"/>
      <w:marRight w:val="0"/>
      <w:marTop w:val="0"/>
      <w:marBottom w:val="0"/>
      <w:divBdr>
        <w:top w:val="none" w:sz="0" w:space="0" w:color="auto"/>
        <w:left w:val="none" w:sz="0" w:space="0" w:color="auto"/>
        <w:bottom w:val="none" w:sz="0" w:space="0" w:color="auto"/>
        <w:right w:val="none" w:sz="0" w:space="0" w:color="auto"/>
      </w:divBdr>
    </w:div>
    <w:div w:id="141191404">
      <w:bodyDiv w:val="1"/>
      <w:marLeft w:val="0"/>
      <w:marRight w:val="0"/>
      <w:marTop w:val="0"/>
      <w:marBottom w:val="0"/>
      <w:divBdr>
        <w:top w:val="none" w:sz="0" w:space="0" w:color="auto"/>
        <w:left w:val="none" w:sz="0" w:space="0" w:color="auto"/>
        <w:bottom w:val="none" w:sz="0" w:space="0" w:color="auto"/>
        <w:right w:val="none" w:sz="0" w:space="0" w:color="auto"/>
      </w:divBdr>
    </w:div>
    <w:div w:id="195239339">
      <w:bodyDiv w:val="1"/>
      <w:marLeft w:val="0"/>
      <w:marRight w:val="0"/>
      <w:marTop w:val="0"/>
      <w:marBottom w:val="0"/>
      <w:divBdr>
        <w:top w:val="none" w:sz="0" w:space="0" w:color="auto"/>
        <w:left w:val="none" w:sz="0" w:space="0" w:color="auto"/>
        <w:bottom w:val="none" w:sz="0" w:space="0" w:color="auto"/>
        <w:right w:val="none" w:sz="0" w:space="0" w:color="auto"/>
      </w:divBdr>
    </w:div>
    <w:div w:id="197161049">
      <w:bodyDiv w:val="1"/>
      <w:marLeft w:val="0"/>
      <w:marRight w:val="0"/>
      <w:marTop w:val="0"/>
      <w:marBottom w:val="0"/>
      <w:divBdr>
        <w:top w:val="none" w:sz="0" w:space="0" w:color="auto"/>
        <w:left w:val="none" w:sz="0" w:space="0" w:color="auto"/>
        <w:bottom w:val="none" w:sz="0" w:space="0" w:color="auto"/>
        <w:right w:val="none" w:sz="0" w:space="0" w:color="auto"/>
      </w:divBdr>
    </w:div>
    <w:div w:id="208303610">
      <w:bodyDiv w:val="1"/>
      <w:marLeft w:val="0"/>
      <w:marRight w:val="0"/>
      <w:marTop w:val="0"/>
      <w:marBottom w:val="0"/>
      <w:divBdr>
        <w:top w:val="none" w:sz="0" w:space="0" w:color="auto"/>
        <w:left w:val="none" w:sz="0" w:space="0" w:color="auto"/>
        <w:bottom w:val="none" w:sz="0" w:space="0" w:color="auto"/>
        <w:right w:val="none" w:sz="0" w:space="0" w:color="auto"/>
      </w:divBdr>
    </w:div>
    <w:div w:id="220135993">
      <w:bodyDiv w:val="1"/>
      <w:marLeft w:val="0"/>
      <w:marRight w:val="0"/>
      <w:marTop w:val="0"/>
      <w:marBottom w:val="0"/>
      <w:divBdr>
        <w:top w:val="none" w:sz="0" w:space="0" w:color="auto"/>
        <w:left w:val="none" w:sz="0" w:space="0" w:color="auto"/>
        <w:bottom w:val="none" w:sz="0" w:space="0" w:color="auto"/>
        <w:right w:val="none" w:sz="0" w:space="0" w:color="auto"/>
      </w:divBdr>
      <w:divsChild>
        <w:div w:id="708185096">
          <w:marLeft w:val="0"/>
          <w:marRight w:val="0"/>
          <w:marTop w:val="0"/>
          <w:marBottom w:val="0"/>
          <w:divBdr>
            <w:top w:val="none" w:sz="0" w:space="0" w:color="auto"/>
            <w:left w:val="none" w:sz="0" w:space="0" w:color="auto"/>
            <w:bottom w:val="none" w:sz="0" w:space="0" w:color="auto"/>
            <w:right w:val="none" w:sz="0" w:space="0" w:color="auto"/>
          </w:divBdr>
        </w:div>
      </w:divsChild>
    </w:div>
    <w:div w:id="294677331">
      <w:bodyDiv w:val="1"/>
      <w:marLeft w:val="0"/>
      <w:marRight w:val="0"/>
      <w:marTop w:val="0"/>
      <w:marBottom w:val="0"/>
      <w:divBdr>
        <w:top w:val="none" w:sz="0" w:space="0" w:color="auto"/>
        <w:left w:val="none" w:sz="0" w:space="0" w:color="auto"/>
        <w:bottom w:val="none" w:sz="0" w:space="0" w:color="auto"/>
        <w:right w:val="none" w:sz="0" w:space="0" w:color="auto"/>
      </w:divBdr>
    </w:div>
    <w:div w:id="354157888">
      <w:bodyDiv w:val="1"/>
      <w:marLeft w:val="0"/>
      <w:marRight w:val="0"/>
      <w:marTop w:val="0"/>
      <w:marBottom w:val="0"/>
      <w:divBdr>
        <w:top w:val="none" w:sz="0" w:space="0" w:color="auto"/>
        <w:left w:val="none" w:sz="0" w:space="0" w:color="auto"/>
        <w:bottom w:val="none" w:sz="0" w:space="0" w:color="auto"/>
        <w:right w:val="none" w:sz="0" w:space="0" w:color="auto"/>
      </w:divBdr>
    </w:div>
    <w:div w:id="414740379">
      <w:bodyDiv w:val="1"/>
      <w:marLeft w:val="0"/>
      <w:marRight w:val="0"/>
      <w:marTop w:val="0"/>
      <w:marBottom w:val="0"/>
      <w:divBdr>
        <w:top w:val="none" w:sz="0" w:space="0" w:color="auto"/>
        <w:left w:val="none" w:sz="0" w:space="0" w:color="auto"/>
        <w:bottom w:val="none" w:sz="0" w:space="0" w:color="auto"/>
        <w:right w:val="none" w:sz="0" w:space="0" w:color="auto"/>
      </w:divBdr>
    </w:div>
    <w:div w:id="483933236">
      <w:bodyDiv w:val="1"/>
      <w:marLeft w:val="0"/>
      <w:marRight w:val="0"/>
      <w:marTop w:val="0"/>
      <w:marBottom w:val="0"/>
      <w:divBdr>
        <w:top w:val="none" w:sz="0" w:space="0" w:color="auto"/>
        <w:left w:val="none" w:sz="0" w:space="0" w:color="auto"/>
        <w:bottom w:val="none" w:sz="0" w:space="0" w:color="auto"/>
        <w:right w:val="none" w:sz="0" w:space="0" w:color="auto"/>
      </w:divBdr>
    </w:div>
    <w:div w:id="545483201">
      <w:bodyDiv w:val="1"/>
      <w:marLeft w:val="0"/>
      <w:marRight w:val="0"/>
      <w:marTop w:val="0"/>
      <w:marBottom w:val="0"/>
      <w:divBdr>
        <w:top w:val="none" w:sz="0" w:space="0" w:color="auto"/>
        <w:left w:val="none" w:sz="0" w:space="0" w:color="auto"/>
        <w:bottom w:val="none" w:sz="0" w:space="0" w:color="auto"/>
        <w:right w:val="none" w:sz="0" w:space="0" w:color="auto"/>
      </w:divBdr>
    </w:div>
    <w:div w:id="621376519">
      <w:bodyDiv w:val="1"/>
      <w:marLeft w:val="0"/>
      <w:marRight w:val="0"/>
      <w:marTop w:val="0"/>
      <w:marBottom w:val="0"/>
      <w:divBdr>
        <w:top w:val="none" w:sz="0" w:space="0" w:color="auto"/>
        <w:left w:val="none" w:sz="0" w:space="0" w:color="auto"/>
        <w:bottom w:val="none" w:sz="0" w:space="0" w:color="auto"/>
        <w:right w:val="none" w:sz="0" w:space="0" w:color="auto"/>
      </w:divBdr>
    </w:div>
    <w:div w:id="724641580">
      <w:bodyDiv w:val="1"/>
      <w:marLeft w:val="0"/>
      <w:marRight w:val="0"/>
      <w:marTop w:val="0"/>
      <w:marBottom w:val="0"/>
      <w:divBdr>
        <w:top w:val="none" w:sz="0" w:space="0" w:color="auto"/>
        <w:left w:val="none" w:sz="0" w:space="0" w:color="auto"/>
        <w:bottom w:val="none" w:sz="0" w:space="0" w:color="auto"/>
        <w:right w:val="none" w:sz="0" w:space="0" w:color="auto"/>
      </w:divBdr>
    </w:div>
    <w:div w:id="739593718">
      <w:bodyDiv w:val="1"/>
      <w:marLeft w:val="0"/>
      <w:marRight w:val="0"/>
      <w:marTop w:val="0"/>
      <w:marBottom w:val="0"/>
      <w:divBdr>
        <w:top w:val="none" w:sz="0" w:space="0" w:color="auto"/>
        <w:left w:val="none" w:sz="0" w:space="0" w:color="auto"/>
        <w:bottom w:val="none" w:sz="0" w:space="0" w:color="auto"/>
        <w:right w:val="none" w:sz="0" w:space="0" w:color="auto"/>
      </w:divBdr>
      <w:divsChild>
        <w:div w:id="716004867">
          <w:marLeft w:val="0"/>
          <w:marRight w:val="0"/>
          <w:marTop w:val="0"/>
          <w:marBottom w:val="0"/>
          <w:divBdr>
            <w:top w:val="none" w:sz="0" w:space="0" w:color="auto"/>
            <w:left w:val="none" w:sz="0" w:space="0" w:color="auto"/>
            <w:bottom w:val="none" w:sz="0" w:space="0" w:color="auto"/>
            <w:right w:val="none" w:sz="0" w:space="0" w:color="auto"/>
          </w:divBdr>
        </w:div>
      </w:divsChild>
    </w:div>
    <w:div w:id="761729111">
      <w:bodyDiv w:val="1"/>
      <w:marLeft w:val="0"/>
      <w:marRight w:val="0"/>
      <w:marTop w:val="0"/>
      <w:marBottom w:val="0"/>
      <w:divBdr>
        <w:top w:val="none" w:sz="0" w:space="0" w:color="auto"/>
        <w:left w:val="none" w:sz="0" w:space="0" w:color="auto"/>
        <w:bottom w:val="none" w:sz="0" w:space="0" w:color="auto"/>
        <w:right w:val="none" w:sz="0" w:space="0" w:color="auto"/>
      </w:divBdr>
    </w:div>
    <w:div w:id="832452533">
      <w:bodyDiv w:val="1"/>
      <w:marLeft w:val="0"/>
      <w:marRight w:val="0"/>
      <w:marTop w:val="0"/>
      <w:marBottom w:val="0"/>
      <w:divBdr>
        <w:top w:val="none" w:sz="0" w:space="0" w:color="auto"/>
        <w:left w:val="none" w:sz="0" w:space="0" w:color="auto"/>
        <w:bottom w:val="none" w:sz="0" w:space="0" w:color="auto"/>
        <w:right w:val="none" w:sz="0" w:space="0" w:color="auto"/>
      </w:divBdr>
      <w:divsChild>
        <w:div w:id="1929265278">
          <w:marLeft w:val="547"/>
          <w:marRight w:val="0"/>
          <w:marTop w:val="440"/>
          <w:marBottom w:val="0"/>
          <w:divBdr>
            <w:top w:val="none" w:sz="0" w:space="0" w:color="auto"/>
            <w:left w:val="none" w:sz="0" w:space="0" w:color="auto"/>
            <w:bottom w:val="none" w:sz="0" w:space="0" w:color="auto"/>
            <w:right w:val="none" w:sz="0" w:space="0" w:color="auto"/>
          </w:divBdr>
        </w:div>
      </w:divsChild>
    </w:div>
    <w:div w:id="1024595434">
      <w:bodyDiv w:val="1"/>
      <w:marLeft w:val="0"/>
      <w:marRight w:val="0"/>
      <w:marTop w:val="0"/>
      <w:marBottom w:val="0"/>
      <w:divBdr>
        <w:top w:val="none" w:sz="0" w:space="0" w:color="auto"/>
        <w:left w:val="none" w:sz="0" w:space="0" w:color="auto"/>
        <w:bottom w:val="none" w:sz="0" w:space="0" w:color="auto"/>
        <w:right w:val="none" w:sz="0" w:space="0" w:color="auto"/>
      </w:divBdr>
    </w:div>
    <w:div w:id="1128744341">
      <w:bodyDiv w:val="1"/>
      <w:marLeft w:val="0"/>
      <w:marRight w:val="0"/>
      <w:marTop w:val="0"/>
      <w:marBottom w:val="0"/>
      <w:divBdr>
        <w:top w:val="none" w:sz="0" w:space="0" w:color="auto"/>
        <w:left w:val="none" w:sz="0" w:space="0" w:color="auto"/>
        <w:bottom w:val="none" w:sz="0" w:space="0" w:color="auto"/>
        <w:right w:val="none" w:sz="0" w:space="0" w:color="auto"/>
      </w:divBdr>
    </w:div>
    <w:div w:id="1178427377">
      <w:bodyDiv w:val="1"/>
      <w:marLeft w:val="0"/>
      <w:marRight w:val="0"/>
      <w:marTop w:val="0"/>
      <w:marBottom w:val="0"/>
      <w:divBdr>
        <w:top w:val="none" w:sz="0" w:space="0" w:color="auto"/>
        <w:left w:val="none" w:sz="0" w:space="0" w:color="auto"/>
        <w:bottom w:val="none" w:sz="0" w:space="0" w:color="auto"/>
        <w:right w:val="none" w:sz="0" w:space="0" w:color="auto"/>
      </w:divBdr>
    </w:div>
    <w:div w:id="1254244293">
      <w:bodyDiv w:val="1"/>
      <w:marLeft w:val="0"/>
      <w:marRight w:val="0"/>
      <w:marTop w:val="0"/>
      <w:marBottom w:val="0"/>
      <w:divBdr>
        <w:top w:val="none" w:sz="0" w:space="0" w:color="auto"/>
        <w:left w:val="none" w:sz="0" w:space="0" w:color="auto"/>
        <w:bottom w:val="none" w:sz="0" w:space="0" w:color="auto"/>
        <w:right w:val="none" w:sz="0" w:space="0" w:color="auto"/>
      </w:divBdr>
    </w:div>
    <w:div w:id="1261836208">
      <w:bodyDiv w:val="1"/>
      <w:marLeft w:val="0"/>
      <w:marRight w:val="0"/>
      <w:marTop w:val="0"/>
      <w:marBottom w:val="0"/>
      <w:divBdr>
        <w:top w:val="none" w:sz="0" w:space="0" w:color="auto"/>
        <w:left w:val="none" w:sz="0" w:space="0" w:color="auto"/>
        <w:bottom w:val="none" w:sz="0" w:space="0" w:color="auto"/>
        <w:right w:val="none" w:sz="0" w:space="0" w:color="auto"/>
      </w:divBdr>
    </w:div>
    <w:div w:id="1452017337">
      <w:bodyDiv w:val="1"/>
      <w:marLeft w:val="0"/>
      <w:marRight w:val="0"/>
      <w:marTop w:val="0"/>
      <w:marBottom w:val="0"/>
      <w:divBdr>
        <w:top w:val="none" w:sz="0" w:space="0" w:color="auto"/>
        <w:left w:val="none" w:sz="0" w:space="0" w:color="auto"/>
        <w:bottom w:val="none" w:sz="0" w:space="0" w:color="auto"/>
        <w:right w:val="none" w:sz="0" w:space="0" w:color="auto"/>
      </w:divBdr>
    </w:div>
    <w:div w:id="1511721640">
      <w:bodyDiv w:val="1"/>
      <w:marLeft w:val="0"/>
      <w:marRight w:val="0"/>
      <w:marTop w:val="0"/>
      <w:marBottom w:val="0"/>
      <w:divBdr>
        <w:top w:val="none" w:sz="0" w:space="0" w:color="auto"/>
        <w:left w:val="none" w:sz="0" w:space="0" w:color="auto"/>
        <w:bottom w:val="none" w:sz="0" w:space="0" w:color="auto"/>
        <w:right w:val="none" w:sz="0" w:space="0" w:color="auto"/>
      </w:divBdr>
    </w:div>
    <w:div w:id="1534727866">
      <w:bodyDiv w:val="1"/>
      <w:marLeft w:val="0"/>
      <w:marRight w:val="0"/>
      <w:marTop w:val="0"/>
      <w:marBottom w:val="0"/>
      <w:divBdr>
        <w:top w:val="none" w:sz="0" w:space="0" w:color="auto"/>
        <w:left w:val="none" w:sz="0" w:space="0" w:color="auto"/>
        <w:bottom w:val="none" w:sz="0" w:space="0" w:color="auto"/>
        <w:right w:val="none" w:sz="0" w:space="0" w:color="auto"/>
      </w:divBdr>
    </w:div>
    <w:div w:id="1572152831">
      <w:bodyDiv w:val="1"/>
      <w:marLeft w:val="0"/>
      <w:marRight w:val="0"/>
      <w:marTop w:val="0"/>
      <w:marBottom w:val="0"/>
      <w:divBdr>
        <w:top w:val="none" w:sz="0" w:space="0" w:color="auto"/>
        <w:left w:val="none" w:sz="0" w:space="0" w:color="auto"/>
        <w:bottom w:val="none" w:sz="0" w:space="0" w:color="auto"/>
        <w:right w:val="none" w:sz="0" w:space="0" w:color="auto"/>
      </w:divBdr>
    </w:div>
    <w:div w:id="1652368954">
      <w:bodyDiv w:val="1"/>
      <w:marLeft w:val="0"/>
      <w:marRight w:val="0"/>
      <w:marTop w:val="0"/>
      <w:marBottom w:val="0"/>
      <w:divBdr>
        <w:top w:val="none" w:sz="0" w:space="0" w:color="auto"/>
        <w:left w:val="none" w:sz="0" w:space="0" w:color="auto"/>
        <w:bottom w:val="none" w:sz="0" w:space="0" w:color="auto"/>
        <w:right w:val="none" w:sz="0" w:space="0" w:color="auto"/>
      </w:divBdr>
    </w:div>
    <w:div w:id="1788431224">
      <w:bodyDiv w:val="1"/>
      <w:marLeft w:val="0"/>
      <w:marRight w:val="0"/>
      <w:marTop w:val="0"/>
      <w:marBottom w:val="0"/>
      <w:divBdr>
        <w:top w:val="none" w:sz="0" w:space="0" w:color="auto"/>
        <w:left w:val="none" w:sz="0" w:space="0" w:color="auto"/>
        <w:bottom w:val="none" w:sz="0" w:space="0" w:color="auto"/>
        <w:right w:val="none" w:sz="0" w:space="0" w:color="auto"/>
      </w:divBdr>
      <w:divsChild>
        <w:div w:id="707602724">
          <w:marLeft w:val="0"/>
          <w:marRight w:val="0"/>
          <w:marTop w:val="0"/>
          <w:marBottom w:val="0"/>
          <w:divBdr>
            <w:top w:val="none" w:sz="0" w:space="0" w:color="auto"/>
            <w:left w:val="none" w:sz="0" w:space="0" w:color="auto"/>
            <w:bottom w:val="none" w:sz="0" w:space="0" w:color="auto"/>
            <w:right w:val="none" w:sz="0" w:space="0" w:color="auto"/>
          </w:divBdr>
          <w:divsChild>
            <w:div w:id="513498446">
              <w:marLeft w:val="0"/>
              <w:marRight w:val="0"/>
              <w:marTop w:val="100"/>
              <w:marBottom w:val="100"/>
              <w:divBdr>
                <w:top w:val="none" w:sz="0" w:space="0" w:color="auto"/>
                <w:left w:val="none" w:sz="0" w:space="0" w:color="auto"/>
                <w:bottom w:val="none" w:sz="0" w:space="0" w:color="auto"/>
                <w:right w:val="none" w:sz="0" w:space="0" w:color="auto"/>
              </w:divBdr>
              <w:divsChild>
                <w:div w:id="952708704">
                  <w:marLeft w:val="0"/>
                  <w:marRight w:val="0"/>
                  <w:marTop w:val="0"/>
                  <w:marBottom w:val="0"/>
                  <w:divBdr>
                    <w:top w:val="none" w:sz="0" w:space="0" w:color="auto"/>
                    <w:left w:val="none" w:sz="0" w:space="0" w:color="auto"/>
                    <w:bottom w:val="none" w:sz="0" w:space="0" w:color="auto"/>
                    <w:right w:val="none" w:sz="0" w:space="0" w:color="auto"/>
                  </w:divBdr>
                  <w:divsChild>
                    <w:div w:id="2126651305">
                      <w:marLeft w:val="0"/>
                      <w:marRight w:val="0"/>
                      <w:marTop w:val="0"/>
                      <w:marBottom w:val="0"/>
                      <w:divBdr>
                        <w:top w:val="none" w:sz="0" w:space="0" w:color="auto"/>
                        <w:left w:val="none" w:sz="0" w:space="0" w:color="auto"/>
                        <w:bottom w:val="none" w:sz="0" w:space="0" w:color="auto"/>
                        <w:right w:val="none" w:sz="0" w:space="0" w:color="auto"/>
                      </w:divBdr>
                      <w:divsChild>
                        <w:div w:id="1400251975">
                          <w:marLeft w:val="0"/>
                          <w:marRight w:val="0"/>
                          <w:marTop w:val="0"/>
                          <w:marBottom w:val="0"/>
                          <w:divBdr>
                            <w:top w:val="none" w:sz="0" w:space="0" w:color="auto"/>
                            <w:left w:val="none" w:sz="0" w:space="0" w:color="auto"/>
                            <w:bottom w:val="none" w:sz="0" w:space="0" w:color="auto"/>
                            <w:right w:val="none" w:sz="0" w:space="0" w:color="auto"/>
                          </w:divBdr>
                          <w:divsChild>
                            <w:div w:id="975718067">
                              <w:marLeft w:val="0"/>
                              <w:marRight w:val="0"/>
                              <w:marTop w:val="0"/>
                              <w:marBottom w:val="0"/>
                              <w:divBdr>
                                <w:top w:val="none" w:sz="0" w:space="0" w:color="auto"/>
                                <w:left w:val="none" w:sz="0" w:space="0" w:color="auto"/>
                                <w:bottom w:val="none" w:sz="0" w:space="0" w:color="auto"/>
                                <w:right w:val="none" w:sz="0" w:space="0" w:color="auto"/>
                              </w:divBdr>
                              <w:divsChild>
                                <w:div w:id="1238251212">
                                  <w:marLeft w:val="0"/>
                                  <w:marRight w:val="0"/>
                                  <w:marTop w:val="0"/>
                                  <w:marBottom w:val="0"/>
                                  <w:divBdr>
                                    <w:top w:val="none" w:sz="0" w:space="0" w:color="auto"/>
                                    <w:left w:val="none" w:sz="0" w:space="0" w:color="auto"/>
                                    <w:bottom w:val="none" w:sz="0" w:space="0" w:color="auto"/>
                                    <w:right w:val="none" w:sz="0" w:space="0" w:color="auto"/>
                                  </w:divBdr>
                                  <w:divsChild>
                                    <w:div w:id="359405418">
                                      <w:marLeft w:val="0"/>
                                      <w:marRight w:val="0"/>
                                      <w:marTop w:val="0"/>
                                      <w:marBottom w:val="0"/>
                                      <w:divBdr>
                                        <w:top w:val="none" w:sz="0" w:space="0" w:color="auto"/>
                                        <w:left w:val="none" w:sz="0" w:space="0" w:color="auto"/>
                                        <w:bottom w:val="none" w:sz="0" w:space="0" w:color="auto"/>
                                        <w:right w:val="none" w:sz="0" w:space="0" w:color="auto"/>
                                      </w:divBdr>
                                      <w:divsChild>
                                        <w:div w:id="1250197387">
                                          <w:marLeft w:val="0"/>
                                          <w:marRight w:val="0"/>
                                          <w:marTop w:val="0"/>
                                          <w:marBottom w:val="0"/>
                                          <w:divBdr>
                                            <w:top w:val="none" w:sz="0" w:space="0" w:color="auto"/>
                                            <w:left w:val="none" w:sz="0" w:space="0" w:color="auto"/>
                                            <w:bottom w:val="none" w:sz="0" w:space="0" w:color="auto"/>
                                            <w:right w:val="none" w:sz="0" w:space="0" w:color="auto"/>
                                          </w:divBdr>
                                          <w:divsChild>
                                            <w:div w:id="18569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124003">
      <w:bodyDiv w:val="1"/>
      <w:marLeft w:val="0"/>
      <w:marRight w:val="0"/>
      <w:marTop w:val="0"/>
      <w:marBottom w:val="0"/>
      <w:divBdr>
        <w:top w:val="none" w:sz="0" w:space="0" w:color="auto"/>
        <w:left w:val="none" w:sz="0" w:space="0" w:color="auto"/>
        <w:bottom w:val="none" w:sz="0" w:space="0" w:color="auto"/>
        <w:right w:val="none" w:sz="0" w:space="0" w:color="auto"/>
      </w:divBdr>
    </w:div>
    <w:div w:id="1995603485">
      <w:bodyDiv w:val="1"/>
      <w:marLeft w:val="0"/>
      <w:marRight w:val="0"/>
      <w:marTop w:val="0"/>
      <w:marBottom w:val="0"/>
      <w:divBdr>
        <w:top w:val="none" w:sz="0" w:space="0" w:color="auto"/>
        <w:left w:val="none" w:sz="0" w:space="0" w:color="auto"/>
        <w:bottom w:val="none" w:sz="0" w:space="0" w:color="auto"/>
        <w:right w:val="none" w:sz="0" w:space="0" w:color="auto"/>
      </w:divBdr>
      <w:divsChild>
        <w:div w:id="937517343">
          <w:marLeft w:val="0"/>
          <w:marRight w:val="0"/>
          <w:marTop w:val="0"/>
          <w:marBottom w:val="0"/>
          <w:divBdr>
            <w:top w:val="none" w:sz="0" w:space="0" w:color="auto"/>
            <w:left w:val="none" w:sz="0" w:space="0" w:color="auto"/>
            <w:bottom w:val="none" w:sz="0" w:space="0" w:color="auto"/>
            <w:right w:val="none" w:sz="0" w:space="0" w:color="auto"/>
          </w:divBdr>
        </w:div>
      </w:divsChild>
    </w:div>
    <w:div w:id="2055158507">
      <w:bodyDiv w:val="1"/>
      <w:marLeft w:val="0"/>
      <w:marRight w:val="0"/>
      <w:marTop w:val="0"/>
      <w:marBottom w:val="0"/>
      <w:divBdr>
        <w:top w:val="none" w:sz="0" w:space="0" w:color="auto"/>
        <w:left w:val="none" w:sz="0" w:space="0" w:color="auto"/>
        <w:bottom w:val="none" w:sz="0" w:space="0" w:color="auto"/>
        <w:right w:val="none" w:sz="0" w:space="0" w:color="auto"/>
      </w:divBdr>
    </w:div>
    <w:div w:id="2117556763">
      <w:bodyDiv w:val="1"/>
      <w:marLeft w:val="0"/>
      <w:marRight w:val="0"/>
      <w:marTop w:val="0"/>
      <w:marBottom w:val="0"/>
      <w:divBdr>
        <w:top w:val="none" w:sz="0" w:space="0" w:color="auto"/>
        <w:left w:val="none" w:sz="0" w:space="0" w:color="auto"/>
        <w:bottom w:val="none" w:sz="0" w:space="0" w:color="auto"/>
        <w:right w:val="none" w:sz="0" w:space="0" w:color="auto"/>
      </w:divBdr>
    </w:div>
    <w:div w:id="2120828178">
      <w:bodyDiv w:val="1"/>
      <w:marLeft w:val="0"/>
      <w:marRight w:val="0"/>
      <w:marTop w:val="0"/>
      <w:marBottom w:val="0"/>
      <w:divBdr>
        <w:top w:val="none" w:sz="0" w:space="0" w:color="auto"/>
        <w:left w:val="none" w:sz="0" w:space="0" w:color="auto"/>
        <w:bottom w:val="none" w:sz="0" w:space="0" w:color="auto"/>
        <w:right w:val="none" w:sz="0" w:space="0" w:color="auto"/>
      </w:divBdr>
    </w:div>
    <w:div w:id="213158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30.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image" Target="media/image3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png"/><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6D4C4-E304-4663-AA72-2B192FB0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21658</Words>
  <Characters>123457</Characters>
  <Application>Microsoft Office Word</Application>
  <DocSecurity>4</DocSecurity>
  <Lines>1028</Lines>
  <Paragraphs>289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mfkor</dc:creator>
  <cp:lastModifiedBy>Vlatka Šelimber</cp:lastModifiedBy>
  <cp:revision>2</cp:revision>
  <cp:lastPrinted>2019-04-17T16:39:00Z</cp:lastPrinted>
  <dcterms:created xsi:type="dcterms:W3CDTF">2019-04-18T06:32:00Z</dcterms:created>
  <dcterms:modified xsi:type="dcterms:W3CDTF">2019-04-18T06:32:00Z</dcterms:modified>
</cp:coreProperties>
</file>